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9D36" w14:textId="77777777" w:rsidR="00E41ED7" w:rsidRDefault="00E41ED7" w:rsidP="00581A85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41ED7">
        <w:rPr>
          <w:rFonts w:ascii="Calibri" w:hAnsi="Calibri" w:cs="Calibri"/>
          <w:b/>
          <w:bCs/>
          <w:color w:val="000000"/>
        </w:rPr>
        <w:drawing>
          <wp:inline distT="0" distB="0" distL="0" distR="0" wp14:anchorId="10EF03C8" wp14:editId="22D07469">
            <wp:extent cx="5943600" cy="1647825"/>
            <wp:effectExtent l="0" t="0" r="0" b="9525"/>
            <wp:docPr id="1119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0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FBE0" w14:textId="77777777" w:rsidR="00E41ED7" w:rsidRDefault="00E41ED7" w:rsidP="00581A85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18C9B8" w14:textId="77777777" w:rsidR="00581A85" w:rsidRPr="00597DFF" w:rsidRDefault="00E41ED7" w:rsidP="00581A85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Overview</w:t>
      </w:r>
      <w:r w:rsidR="00581A85" w:rsidRPr="00597DFF">
        <w:rPr>
          <w:rFonts w:ascii="Calibri" w:hAnsi="Calibri" w:cs="Calibri"/>
          <w:b/>
          <w:bCs/>
          <w:color w:val="000000"/>
        </w:rPr>
        <w:t>: </w:t>
      </w:r>
      <w:r w:rsidR="00581A85" w:rsidRPr="00597DFF">
        <w:rPr>
          <w:rFonts w:ascii="Calibri" w:hAnsi="Calibri" w:cs="Calibri"/>
          <w:color w:val="000000"/>
        </w:rPr>
        <w:t> </w:t>
      </w:r>
      <w:r w:rsidR="00581A85" w:rsidRPr="00597DFF">
        <w:rPr>
          <w:rFonts w:ascii="Calibri" w:hAnsi="Calibri" w:cs="Calibri"/>
        </w:rPr>
        <w:t>Join us to learn practical, often overlooked strategies to legally reduce tariffs and VAT</w:t>
      </w:r>
      <w:r w:rsidR="00581A85" w:rsidRPr="00597DFF">
        <w:rPr>
          <w:rFonts w:ascii="Calibri" w:hAnsi="Calibri" w:cs="Calibri"/>
        </w:rPr>
        <w:t xml:space="preserve"> </w:t>
      </w:r>
      <w:r w:rsidR="00581A85" w:rsidRPr="00597DFF">
        <w:rPr>
          <w:rFonts w:ascii="Calibri" w:hAnsi="Calibri" w:cs="Calibri"/>
        </w:rPr>
        <w:t>through duty drawback, smarter transaction structuring, and valuation adjustments that improve margins and cash flow. We’ll break down real-world tactics you can implement immediately to lower costs, optimize pricing for international customers, and strengthen compliance without cutting corners.</w:t>
      </w:r>
    </w:p>
    <w:p w14:paraId="79FF6FBB" w14:textId="77777777" w:rsidR="00581A85" w:rsidRPr="00597DFF" w:rsidRDefault="00581A85" w:rsidP="00581A85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 w:rsidRPr="00597DFF">
        <w:rPr>
          <w:rFonts w:ascii="Calibri" w:hAnsi="Calibri" w:cs="Calibri"/>
          <w:b/>
          <w:bCs/>
          <w:color w:val="000000"/>
        </w:rPr>
        <w:t>Presenters: </w:t>
      </w:r>
      <w:r w:rsidRPr="00597DFF">
        <w:rPr>
          <w:rFonts w:ascii="Calibri" w:hAnsi="Calibri" w:cs="Calibri"/>
          <w:color w:val="000000"/>
        </w:rPr>
        <w:t>Sydnee Goodell, CITTA Brokerage</w:t>
      </w:r>
      <w:r w:rsidR="00597DFF" w:rsidRPr="00597DFF">
        <w:rPr>
          <w:rFonts w:ascii="Calibri" w:hAnsi="Calibri" w:cs="Calibri"/>
          <w:color w:val="000000"/>
        </w:rPr>
        <w:t xml:space="preserve">, </w:t>
      </w:r>
      <w:r w:rsidRPr="00597DFF">
        <w:rPr>
          <w:rFonts w:ascii="Calibri" w:hAnsi="Calibri" w:cs="Calibri"/>
          <w:color w:val="000000"/>
        </w:rPr>
        <w:t>Robert Leach, ICPA Board Member</w:t>
      </w:r>
      <w:r w:rsidRPr="00597DFF">
        <w:rPr>
          <w:rFonts w:ascii="Calibri" w:hAnsi="Calibri" w:cs="Calibri"/>
          <w:color w:val="000000"/>
        </w:rPr>
        <w:t> </w:t>
      </w:r>
      <w:r w:rsidR="00597DFF" w:rsidRPr="00597DFF">
        <w:rPr>
          <w:rFonts w:ascii="Calibri" w:hAnsi="Calibri" w:cs="Calibri"/>
          <w:color w:val="000000"/>
        </w:rPr>
        <w:t>and the District Export Council of North Dakota</w:t>
      </w:r>
    </w:p>
    <w:p w14:paraId="576E5B9C" w14:textId="77777777" w:rsidR="00E41ED7" w:rsidRPr="00597DFF" w:rsidRDefault="00E41ED7" w:rsidP="00E41ED7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 w:rsidRPr="00597DFF">
        <w:rPr>
          <w:rFonts w:ascii="Calibri" w:hAnsi="Calibri" w:cs="Calibri"/>
          <w:b/>
          <w:bCs/>
          <w:color w:val="000000"/>
        </w:rPr>
        <w:t>What: </w:t>
      </w:r>
      <w:r w:rsidRPr="00597DFF">
        <w:rPr>
          <w:rFonts w:ascii="Calibri" w:hAnsi="Calibri" w:cs="Calibri"/>
          <w:color w:val="000000"/>
        </w:rPr>
        <w:t>Managing Tariff &amp; VAT Exposure </w:t>
      </w:r>
    </w:p>
    <w:p w14:paraId="3FBD411F" w14:textId="77777777" w:rsidR="00E41ED7" w:rsidRPr="00597DFF" w:rsidRDefault="00E41ED7" w:rsidP="00E41ED7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 w:rsidRPr="00597DFF">
        <w:rPr>
          <w:rFonts w:ascii="Calibri" w:hAnsi="Calibri" w:cs="Calibri"/>
          <w:b/>
          <w:bCs/>
          <w:color w:val="000000"/>
        </w:rPr>
        <w:t>When: </w:t>
      </w:r>
      <w:r w:rsidRPr="00597DFF">
        <w:rPr>
          <w:rFonts w:ascii="Calibri" w:hAnsi="Calibri" w:cs="Calibri"/>
          <w:color w:val="000000"/>
        </w:rPr>
        <w:t>April 7, 2026 – 2pm to 4pm EDT</w:t>
      </w:r>
    </w:p>
    <w:p w14:paraId="5A7806BF" w14:textId="77777777" w:rsidR="00E41ED7" w:rsidRPr="00597DFF" w:rsidRDefault="00E41ED7" w:rsidP="00E41ED7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 w:rsidRPr="00597DFF">
        <w:rPr>
          <w:rFonts w:ascii="Calibri" w:hAnsi="Calibri" w:cs="Calibri"/>
          <w:b/>
          <w:bCs/>
          <w:color w:val="000000"/>
        </w:rPr>
        <w:t>Where: </w:t>
      </w:r>
      <w:r>
        <w:rPr>
          <w:rFonts w:ascii="Calibri" w:hAnsi="Calibri" w:cs="Calibri"/>
          <w:color w:val="000000"/>
        </w:rPr>
        <w:t>Online</w:t>
      </w:r>
      <w:r w:rsidRPr="00597DFF">
        <w:rPr>
          <w:rFonts w:ascii="Calibri" w:hAnsi="Calibri" w:cs="Calibri"/>
          <w:color w:val="000000"/>
        </w:rPr>
        <w:t xml:space="preserve"> </w:t>
      </w:r>
    </w:p>
    <w:p w14:paraId="49A7A7FA" w14:textId="77777777" w:rsidR="00581A85" w:rsidRPr="00597DFF" w:rsidRDefault="00581A85" w:rsidP="00581A85">
      <w:pPr>
        <w:pStyle w:val="NormalWeb"/>
        <w:shd w:val="clear" w:color="auto" w:fill="FDFEFE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 w:rsidRPr="00597DFF">
        <w:rPr>
          <w:rFonts w:ascii="Calibri" w:hAnsi="Calibri" w:cs="Calibri"/>
          <w:b/>
          <w:bCs/>
          <w:color w:val="000000"/>
        </w:rPr>
        <w:t>Register: </w:t>
      </w:r>
      <w:r w:rsidRPr="00597DFF">
        <w:rPr>
          <w:rFonts w:ascii="Calibri" w:hAnsi="Calibri" w:cs="Calibri"/>
          <w:color w:val="000000"/>
        </w:rPr>
        <w:t> </w:t>
      </w:r>
      <w:hyperlink r:id="rId5" w:history="1">
        <w:r w:rsidRPr="00597DFF">
          <w:rPr>
            <w:rStyle w:val="Hyperlink"/>
            <w:rFonts w:ascii="Calibri" w:hAnsi="Calibri" w:cs="Calibri"/>
          </w:rPr>
          <w:t>Managing Tariff &amp; VAT Exposure Tickets - Tuesday, Apr 7, 2 pm - 4 pm EDT</w:t>
        </w:r>
      </w:hyperlink>
      <w:r w:rsidRPr="00597DFF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3FE3EC73" w14:textId="77777777" w:rsidR="00581A85" w:rsidRDefault="00581A85"/>
    <w:sectPr w:rsidR="0058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5"/>
    <w:rsid w:val="00254052"/>
    <w:rsid w:val="00581A85"/>
    <w:rsid w:val="00597DFF"/>
    <w:rsid w:val="00E4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C70D"/>
  <w15:chartTrackingRefBased/>
  <w15:docId w15:val="{26778EB8-C488-421F-BE3C-14FEE1A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A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1A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managing-tariff-vat-exposure-tickets-1983973065847?aff=oddtdtcreator&amp;keep_tld=tru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Leach</dc:creator>
  <cp:keywords/>
  <dc:description/>
  <cp:lastModifiedBy>Robert Leach</cp:lastModifiedBy>
  <cp:revision>2</cp:revision>
  <dcterms:created xsi:type="dcterms:W3CDTF">2026-03-31T01:17:00Z</dcterms:created>
  <dcterms:modified xsi:type="dcterms:W3CDTF">2026-03-31T01:17:00Z</dcterms:modified>
</cp:coreProperties>
</file>