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580"/>
        <w:gridCol w:w="3803"/>
      </w:tblGrid>
      <w:tr w:rsidR="008F3AD9" w14:paraId="5D8762A2" w14:textId="77777777" w:rsidTr="007503FC">
        <w:trPr>
          <w:trHeight w:val="645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Senior Trade Compliance Specialist</w:t>
            </w:r>
          </w:p>
        </w:tc>
        <w:tc>
          <w:tcPr>
            <w:tcW w:w="380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TCRS4671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6F686CCB" w:rsidR="008F3AD9" w:rsidRPr="008F3AD9" w:rsidRDefault="00E26504" w:rsidP="008F3AD9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Senior Trade Compliance Specialist is </w:t>
            </w:r>
            <w:r w:rsidR="008F3AD9" w:rsidRPr="008F3AD9">
              <w:rPr>
                <w:bCs/>
                <w:sz w:val="21"/>
                <w:szCs w:val="21"/>
              </w:rPr>
              <w:t xml:space="preserve">responsible for the export and import compliance program, ensuring regulatory requirements are met and compliance controls are implemented across </w:t>
            </w:r>
            <w:r w:rsidR="007503FC">
              <w:rPr>
                <w:bCs/>
                <w:sz w:val="21"/>
                <w:szCs w:val="21"/>
              </w:rPr>
              <w:t xml:space="preserve">business </w:t>
            </w:r>
            <w:r w:rsidR="00CE32A8">
              <w:rPr>
                <w:bCs/>
                <w:sz w:val="21"/>
                <w:szCs w:val="21"/>
              </w:rPr>
              <w:t>unit’s</w:t>
            </w:r>
            <w:r w:rsidR="008F3AD9" w:rsidRPr="008F3AD9">
              <w:rPr>
                <w:bCs/>
                <w:sz w:val="21"/>
                <w:szCs w:val="21"/>
              </w:rPr>
              <w:t xml:space="preserve"> procedures and work instructions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77777" w:rsidR="008F3AD9" w:rsidRDefault="008F3AD9" w:rsidP="008F3AD9">
            <w:r w:rsidRPr="008F3AD9">
              <w:rPr>
                <w:sz w:val="21"/>
                <w:szCs w:val="21"/>
              </w:rPr>
              <w:t>This is an in-office position based near Long Beach, California area.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Review and approve export and import license and permit applications</w:t>
            </w:r>
          </w:p>
          <w:p w14:paraId="71A2ED5D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Analyze export and import regulations and maintain current knowledge of regulatory changes</w:t>
            </w:r>
          </w:p>
          <w:p w14:paraId="12790B50" w14:textId="69327F6C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Validate jurisdiction and product </w:t>
            </w:r>
            <w:r w:rsidR="00477183">
              <w:rPr>
                <w:bCs/>
                <w:sz w:val="21"/>
                <w:szCs w:val="21"/>
              </w:rPr>
              <w:t xml:space="preserve">ECCN </w:t>
            </w:r>
            <w:r w:rsidRPr="008F3AD9">
              <w:rPr>
                <w:bCs/>
                <w:sz w:val="21"/>
                <w:szCs w:val="21"/>
              </w:rPr>
              <w:t>classifications across assigned transactions</w:t>
            </w:r>
          </w:p>
          <w:p w14:paraId="48B3BFB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compliance activities and assess the effectiveness of internal controls</w:t>
            </w:r>
          </w:p>
          <w:p w14:paraId="32CEF6D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Prepare, review, and approve technology control plans and provide technology transfer oversight</w:t>
            </w:r>
          </w:p>
          <w:p w14:paraId="48E19A9C" w14:textId="2DE3E65A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Analyze high-risk transactions and determine </w:t>
            </w:r>
            <w:r w:rsidR="00995F95">
              <w:rPr>
                <w:bCs/>
                <w:sz w:val="21"/>
                <w:szCs w:val="21"/>
              </w:rPr>
              <w:t xml:space="preserve">if </w:t>
            </w:r>
            <w:r w:rsidRPr="008F3AD9">
              <w:rPr>
                <w:bCs/>
                <w:sz w:val="21"/>
                <w:szCs w:val="21"/>
              </w:rPr>
              <w:t>due diligence requirements have been satisfied</w:t>
            </w:r>
          </w:p>
          <w:p w14:paraId="11F5251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Conduct functional audits of trade compliance policies and procedures</w:t>
            </w:r>
          </w:p>
          <w:p w14:paraId="049CDC12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Prepare and verify export shipping documentation for ad-hoc and non-routine shipments</w:t>
            </w:r>
          </w:p>
          <w:p w14:paraId="10B3438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Coordinate with freight forwarders to ensure trade compliance adherence</w:t>
            </w:r>
          </w:p>
          <w:p w14:paraId="48336E16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Advise senior management on trade compliance risks of proposed business decisions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77777777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preferred</w:t>
            </w:r>
          </w:p>
          <w:p w14:paraId="6FAED6B7" w14:textId="1A19E522" w:rsidR="008F3AD9" w:rsidRPr="008F3AD9" w:rsidRDefault="00776BD6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5-7</w:t>
            </w:r>
            <w:r w:rsidR="008F3AD9" w:rsidRPr="008F3AD9">
              <w:rPr>
                <w:bCs/>
                <w:sz w:val="21"/>
                <w:szCs w:val="21"/>
              </w:rPr>
              <w:t xml:space="preserve"> years of experience with export and import regulatory compliance</w:t>
            </w:r>
          </w:p>
          <w:p w14:paraId="217015C8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in an aerospace manufacturing environment preferred</w:t>
            </w:r>
          </w:p>
          <w:p w14:paraId="64005153" w14:textId="126F659A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Working knowledge of ITAR, EAR, OFAC sanctions, and </w:t>
            </w:r>
            <w:r w:rsidR="00AD70A1">
              <w:rPr>
                <w:bCs/>
                <w:sz w:val="21"/>
                <w:szCs w:val="21"/>
              </w:rPr>
              <w:t>CBP</w:t>
            </w:r>
            <w:r w:rsidRPr="008F3AD9">
              <w:rPr>
                <w:bCs/>
                <w:sz w:val="21"/>
                <w:szCs w:val="21"/>
              </w:rPr>
              <w:t xml:space="preserve"> regulations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Familiarity with export licensing, re-export requirements, and arms embargoes</w:t>
            </w:r>
          </w:p>
          <w:p w14:paraId="5A48EC99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Ability to analyze and interpret contracts for trade compliance issues</w:t>
            </w:r>
          </w:p>
          <w:p w14:paraId="4EC6969C" w14:textId="77777777" w:rsidR="00C66A21" w:rsidRDefault="00C66A21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Strong organization and </w:t>
            </w:r>
            <w:r w:rsidR="001C4A89">
              <w:rPr>
                <w:bCs/>
                <w:sz w:val="21"/>
                <w:szCs w:val="21"/>
              </w:rPr>
              <w:t xml:space="preserve">multi-tasking skills with ability to change priorities </w:t>
            </w:r>
            <w:r w:rsidR="00E240E6">
              <w:rPr>
                <w:bCs/>
                <w:sz w:val="21"/>
                <w:szCs w:val="21"/>
              </w:rPr>
              <w:t>with minimal direction</w:t>
            </w:r>
          </w:p>
          <w:p w14:paraId="68C86072" w14:textId="5A9B3DA6" w:rsidR="006C54E8" w:rsidRPr="008F3AD9" w:rsidRDefault="006C54E8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Proficient in MS Office</w:t>
            </w:r>
            <w:r w:rsidR="00D2591F">
              <w:rPr>
                <w:bCs/>
                <w:sz w:val="21"/>
                <w:szCs w:val="21"/>
              </w:rPr>
              <w:t xml:space="preserve"> applications including Excel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186A" w14:textId="77777777" w:rsidR="0095636F" w:rsidRDefault="0095636F" w:rsidP="00440DC7">
      <w:pPr>
        <w:spacing w:after="0" w:line="240" w:lineRule="auto"/>
      </w:pPr>
      <w:r>
        <w:separator/>
      </w:r>
    </w:p>
  </w:endnote>
  <w:endnote w:type="continuationSeparator" w:id="0">
    <w:p w14:paraId="264AFE21" w14:textId="77777777" w:rsidR="0095636F" w:rsidRDefault="0095636F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98AA" w14:textId="77777777" w:rsidR="0095636F" w:rsidRDefault="0095636F" w:rsidP="00440DC7">
      <w:pPr>
        <w:spacing w:after="0" w:line="240" w:lineRule="auto"/>
      </w:pPr>
      <w:r>
        <w:separator/>
      </w:r>
    </w:p>
  </w:footnote>
  <w:footnote w:type="continuationSeparator" w:id="0">
    <w:p w14:paraId="3D91EE88" w14:textId="77777777" w:rsidR="0095636F" w:rsidRDefault="0095636F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7820"/>
    <w:rsid w:val="001A52CB"/>
    <w:rsid w:val="001C4A89"/>
    <w:rsid w:val="002F3D83"/>
    <w:rsid w:val="003470AC"/>
    <w:rsid w:val="00440DC7"/>
    <w:rsid w:val="004505B2"/>
    <w:rsid w:val="0046548C"/>
    <w:rsid w:val="00477183"/>
    <w:rsid w:val="004E3CEE"/>
    <w:rsid w:val="004E6BBB"/>
    <w:rsid w:val="005A2088"/>
    <w:rsid w:val="005D0563"/>
    <w:rsid w:val="006C54E8"/>
    <w:rsid w:val="007503FC"/>
    <w:rsid w:val="00760197"/>
    <w:rsid w:val="00776BD6"/>
    <w:rsid w:val="00786AD5"/>
    <w:rsid w:val="008500D5"/>
    <w:rsid w:val="00887376"/>
    <w:rsid w:val="00890B45"/>
    <w:rsid w:val="008F3AD9"/>
    <w:rsid w:val="00900460"/>
    <w:rsid w:val="009049BC"/>
    <w:rsid w:val="0095636F"/>
    <w:rsid w:val="00995F95"/>
    <w:rsid w:val="00A220F7"/>
    <w:rsid w:val="00A979EB"/>
    <w:rsid w:val="00AD70A1"/>
    <w:rsid w:val="00BB11E8"/>
    <w:rsid w:val="00C66A21"/>
    <w:rsid w:val="00CE32A8"/>
    <w:rsid w:val="00D24C49"/>
    <w:rsid w:val="00D2591F"/>
    <w:rsid w:val="00D356F7"/>
    <w:rsid w:val="00E240E6"/>
    <w:rsid w:val="00E26504"/>
    <w:rsid w:val="00E53D10"/>
    <w:rsid w:val="00E57A90"/>
    <w:rsid w:val="00E70465"/>
    <w:rsid w:val="00EE12D6"/>
    <w:rsid w:val="00F6622E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15</TotalTime>
  <Pages>1</Pages>
  <Words>254</Words>
  <Characters>1758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18</cp:revision>
  <cp:lastPrinted>2026-01-29T03:21:00Z</cp:lastPrinted>
  <dcterms:created xsi:type="dcterms:W3CDTF">2026-03-17T00:10:00Z</dcterms:created>
  <dcterms:modified xsi:type="dcterms:W3CDTF">2026-03-17T00:24:00Z</dcterms:modified>
</cp:coreProperties>
</file>