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98B7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040"/>
        <w:gridCol w:w="4343"/>
      </w:tblGrid>
      <w:tr w:rsidR="008F3AD9" w14:paraId="7D61134A" w14:textId="77777777" w:rsidTr="00BF3389">
        <w:trPr>
          <w:trHeight w:val="645"/>
        </w:trPr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54D0685D" w14:textId="6D0AAE7B" w:rsidR="008F3AD9" w:rsidRPr="00137820" w:rsidRDefault="00BF338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Trade Compliance </w:t>
            </w:r>
            <w:r w:rsidR="00D209B5">
              <w:rPr>
                <w:rFonts w:cstheme="minorHAnsi"/>
                <w:b/>
                <w:color w:val="000000" w:themeColor="text1"/>
                <w:sz w:val="32"/>
                <w:szCs w:val="24"/>
              </w:rPr>
              <w:t>Manager</w:t>
            </w:r>
          </w:p>
        </w:tc>
        <w:tc>
          <w:tcPr>
            <w:tcW w:w="434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5A40A75A" w14:textId="2A4A3952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F3389">
              <w:rPr>
                <w:rFonts w:cstheme="minorHAnsi"/>
                <w:b/>
                <w:color w:val="0054A6"/>
                <w:sz w:val="32"/>
              </w:rPr>
              <w:t>64</w:t>
            </w:r>
          </w:p>
        </w:tc>
      </w:tr>
      <w:tr w:rsidR="008F3AD9" w14:paraId="4E87EE9A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F7CB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62F27AE3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FD96B34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4A0ED1D3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36EB0BF9" w14:textId="0CC1D26C" w:rsidR="00D209B5" w:rsidRPr="00D209B5" w:rsidRDefault="00D209B5" w:rsidP="00D209B5">
            <w:pPr>
              <w:spacing w:before="120"/>
              <w:rPr>
                <w:bCs/>
                <w:sz w:val="21"/>
                <w:szCs w:val="21"/>
              </w:rPr>
            </w:pPr>
            <w:r w:rsidRPr="00D209B5">
              <w:rPr>
                <w:bCs/>
                <w:sz w:val="21"/>
                <w:szCs w:val="21"/>
              </w:rPr>
              <w:t xml:space="preserve">The </w:t>
            </w:r>
            <w:r w:rsidR="00BF3389">
              <w:rPr>
                <w:bCs/>
                <w:sz w:val="21"/>
                <w:szCs w:val="21"/>
              </w:rPr>
              <w:t xml:space="preserve">Sr. </w:t>
            </w:r>
            <w:r w:rsidRPr="00D209B5">
              <w:rPr>
                <w:bCs/>
                <w:sz w:val="21"/>
                <w:szCs w:val="21"/>
              </w:rPr>
              <w:t xml:space="preserve">Trade Compliance Manager will oversee the import and export activities at </w:t>
            </w:r>
            <w:r w:rsidR="00BF3389">
              <w:rPr>
                <w:bCs/>
                <w:sz w:val="21"/>
                <w:szCs w:val="21"/>
              </w:rPr>
              <w:t xml:space="preserve">multiple </w:t>
            </w:r>
            <w:r w:rsidRPr="00D209B5">
              <w:rPr>
                <w:bCs/>
                <w:sz w:val="21"/>
                <w:szCs w:val="21"/>
              </w:rPr>
              <w:t>manufacturing site</w:t>
            </w:r>
            <w:r w:rsidR="00B55743">
              <w:rPr>
                <w:bCs/>
                <w:sz w:val="21"/>
                <w:szCs w:val="21"/>
              </w:rPr>
              <w:t>s</w:t>
            </w:r>
            <w:r w:rsidRPr="00D209B5">
              <w:rPr>
                <w:bCs/>
                <w:sz w:val="21"/>
                <w:szCs w:val="21"/>
              </w:rPr>
              <w:t>. This role is responsible for ensuring adherence to U.S. Customs, ITAR, EAR, and other trade regulations while managing international shipping documentation, export licensing, and internal compliance processes.</w:t>
            </w:r>
          </w:p>
          <w:p w14:paraId="474127EB" w14:textId="49CDD7EE" w:rsidR="00D209B5" w:rsidRPr="00D209B5" w:rsidRDefault="00D209B5" w:rsidP="00D209B5">
            <w:pPr>
              <w:spacing w:before="120"/>
              <w:rPr>
                <w:bCs/>
                <w:sz w:val="21"/>
                <w:szCs w:val="21"/>
              </w:rPr>
            </w:pPr>
            <w:r w:rsidRPr="00D209B5">
              <w:rPr>
                <w:bCs/>
                <w:sz w:val="21"/>
                <w:szCs w:val="21"/>
              </w:rPr>
              <w:t xml:space="preserve">This position is </w:t>
            </w:r>
            <w:r w:rsidR="0017173A">
              <w:rPr>
                <w:bCs/>
                <w:sz w:val="21"/>
                <w:szCs w:val="21"/>
              </w:rPr>
              <w:t>based near Seattle, WA with a hyb</w:t>
            </w:r>
            <w:r w:rsidR="00F81B0B">
              <w:rPr>
                <w:bCs/>
                <w:sz w:val="21"/>
                <w:szCs w:val="21"/>
              </w:rPr>
              <w:t>rid/remote work arrangement and travel to manufactu</w:t>
            </w:r>
            <w:r w:rsidR="00B55743">
              <w:rPr>
                <w:bCs/>
                <w:sz w:val="21"/>
                <w:szCs w:val="21"/>
              </w:rPr>
              <w:t xml:space="preserve">ring sites.   </w:t>
            </w:r>
          </w:p>
          <w:p w14:paraId="0DC7EE54" w14:textId="01FF36EE" w:rsidR="008F3AD9" w:rsidRDefault="008F3AD9" w:rsidP="008F3AD9"/>
        </w:tc>
      </w:tr>
      <w:tr w:rsidR="008F3AD9" w14:paraId="1920434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594662B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17D7AAC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3DCFEFBE" w14:textId="77777777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Ensure compliance with Import and Export regulations, including ITAR &amp; EAR</w:t>
            </w:r>
          </w:p>
          <w:p w14:paraId="6D2D19CC" w14:textId="0B57A0B5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Manage</w:t>
            </w:r>
            <w:r w:rsidR="00855D6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="00D555D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export license</w:t>
            </w:r>
            <w:r w:rsidR="0056021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</w:t>
            </w:r>
            <w:r w:rsidR="00D555D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&amp; exemption</w:t>
            </w:r>
            <w:r w:rsidR="0056021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s,</w:t>
            </w:r>
            <w:r w:rsidR="00D555D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="00855D6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shipment </w:t>
            </w:r>
            <w:r w:rsidR="00CF05EE" w:rsidRPr="00CF05E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document</w:t>
            </w:r>
            <w:r w:rsidR="00D555D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s, </w:t>
            </w:r>
            <w:r w:rsidR="00855D6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and Export </w:t>
            </w:r>
            <w:r w:rsidR="00E317B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filing (EEI)</w:t>
            </w:r>
          </w:p>
          <w:p w14:paraId="764395C7" w14:textId="70A620C2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Develop site level import and export procedures and processes</w:t>
            </w:r>
            <w:r w:rsidR="00065DD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 conduct training</w:t>
            </w:r>
          </w:p>
          <w:p w14:paraId="19D5D813" w14:textId="77777777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Maintain product level HTS and ECCN classification information</w:t>
            </w:r>
          </w:p>
          <w:p w14:paraId="3BCF1038" w14:textId="69D97CE1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Conduct audits and implement </w:t>
            </w:r>
            <w:r w:rsidR="002A7C4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remediation plans</w:t>
            </w:r>
          </w:p>
          <w:p w14:paraId="5A6EF4C2" w14:textId="25710D1F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Collaborate with site &amp; corporate </w:t>
            </w:r>
            <w:r w:rsidR="00A4671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leaders </w:t>
            </w: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to develop and enhance compliance procedures</w:t>
            </w:r>
          </w:p>
          <w:p w14:paraId="6DB09988" w14:textId="77777777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Monitor regulatory updates and apply necessary changes to processes</w:t>
            </w:r>
          </w:p>
          <w:p w14:paraId="0D458A1A" w14:textId="77777777" w:rsidR="00D209B5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Partner with internal teams to ensure the smooth processing of international shipments</w:t>
            </w:r>
          </w:p>
          <w:p w14:paraId="1512135C" w14:textId="03BA32CC" w:rsidR="008F3AD9" w:rsidRPr="00D209B5" w:rsidRDefault="00D209B5" w:rsidP="00D209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make decisions under pressure and deliver complex trade related messages</w:t>
            </w:r>
          </w:p>
        </w:tc>
      </w:tr>
      <w:tr w:rsidR="008F3AD9" w14:paraId="7E40895E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5D818E9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7F069BF1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11234C83" w14:textId="2B0D1F36" w:rsidR="00D209B5" w:rsidRPr="00D209B5" w:rsidRDefault="00817CFA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5+</w:t>
            </w:r>
            <w:r w:rsidR="00D209B5"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years’ experience working in trade compliance</w:t>
            </w:r>
          </w:p>
          <w:p w14:paraId="123B0958" w14:textId="77777777" w:rsidR="00D209B5" w:rsidRPr="00D209B5" w:rsidRDefault="00D209B5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Associate degree required, bachelor’s degree preferred</w:t>
            </w:r>
          </w:p>
          <w:p w14:paraId="6BE264CB" w14:textId="10042202" w:rsidR="00D209B5" w:rsidRPr="00D209B5" w:rsidRDefault="00D209B5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working with the U.S. Department of State and the Department of Commerce</w:t>
            </w:r>
          </w:p>
          <w:p w14:paraId="41399531" w14:textId="77777777" w:rsidR="00D209B5" w:rsidRPr="00D209B5" w:rsidRDefault="00D209B5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Knowledge of automated compliance tools and ACE system</w:t>
            </w:r>
          </w:p>
          <w:p w14:paraId="591D4F0B" w14:textId="77777777" w:rsidR="00D209B5" w:rsidRPr="00D209B5" w:rsidRDefault="00D209B5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Thorough understanding of Import and export regulations, including HTS/ECCN classification</w:t>
            </w:r>
          </w:p>
          <w:p w14:paraId="546E3575" w14:textId="77777777" w:rsidR="00D209B5" w:rsidRPr="00D209B5" w:rsidRDefault="00D209B5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communication skills with ability to build trusted relationships</w:t>
            </w:r>
          </w:p>
          <w:p w14:paraId="0257D803" w14:textId="6719CBDB" w:rsidR="008F3AD9" w:rsidRPr="00D209B5" w:rsidRDefault="003E7480" w:rsidP="00D209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AF7C4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attention to detail</w:t>
            </w:r>
            <w:r w:rsidR="00C4189B" w:rsidRPr="00AF7C4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</w:t>
            </w:r>
            <w:r w:rsidR="00AF7C4E" w:rsidRPr="00AF7C4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organization skills</w:t>
            </w:r>
          </w:p>
        </w:tc>
      </w:tr>
    </w:tbl>
    <w:p w14:paraId="3B9956E1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04A6B68E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A3AE" w14:textId="77777777" w:rsidR="00352280" w:rsidRDefault="00352280" w:rsidP="00440DC7">
      <w:pPr>
        <w:spacing w:after="0" w:line="240" w:lineRule="auto"/>
      </w:pPr>
      <w:r>
        <w:separator/>
      </w:r>
    </w:p>
  </w:endnote>
  <w:endnote w:type="continuationSeparator" w:id="0">
    <w:p w14:paraId="6E10D441" w14:textId="77777777" w:rsidR="00352280" w:rsidRDefault="00352280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C069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F8F35E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1931" w14:textId="77777777" w:rsidR="00352280" w:rsidRDefault="00352280" w:rsidP="00440DC7">
      <w:pPr>
        <w:spacing w:after="0" w:line="240" w:lineRule="auto"/>
      </w:pPr>
      <w:r>
        <w:separator/>
      </w:r>
    </w:p>
  </w:footnote>
  <w:footnote w:type="continuationSeparator" w:id="0">
    <w:p w14:paraId="00EE7913" w14:textId="77777777" w:rsidR="00352280" w:rsidRDefault="00352280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FC91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6DED"/>
    <w:multiLevelType w:val="multilevel"/>
    <w:tmpl w:val="E8BA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3870"/>
    <w:multiLevelType w:val="multilevel"/>
    <w:tmpl w:val="9F0A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3"/>
  </w:num>
  <w:num w:numId="4" w16cid:durableId="206381481">
    <w:abstractNumId w:val="0"/>
  </w:num>
  <w:num w:numId="5" w16cid:durableId="1521358645">
    <w:abstractNumId w:val="2"/>
  </w:num>
  <w:num w:numId="6" w16cid:durableId="1324510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5"/>
    <w:rsid w:val="00065DD8"/>
    <w:rsid w:val="0010453C"/>
    <w:rsid w:val="00137820"/>
    <w:rsid w:val="0017173A"/>
    <w:rsid w:val="002461A7"/>
    <w:rsid w:val="0029091B"/>
    <w:rsid w:val="002A7C4F"/>
    <w:rsid w:val="00352280"/>
    <w:rsid w:val="003E7480"/>
    <w:rsid w:val="00440DC7"/>
    <w:rsid w:val="004505B2"/>
    <w:rsid w:val="004740B1"/>
    <w:rsid w:val="004E3CEE"/>
    <w:rsid w:val="004E6BBB"/>
    <w:rsid w:val="00560214"/>
    <w:rsid w:val="00597FB3"/>
    <w:rsid w:val="005A2088"/>
    <w:rsid w:val="00765CA6"/>
    <w:rsid w:val="00817CFA"/>
    <w:rsid w:val="008500D5"/>
    <w:rsid w:val="00855D65"/>
    <w:rsid w:val="00887376"/>
    <w:rsid w:val="008F3AD9"/>
    <w:rsid w:val="00900460"/>
    <w:rsid w:val="009049BC"/>
    <w:rsid w:val="009B3D6F"/>
    <w:rsid w:val="00A220F7"/>
    <w:rsid w:val="00A46711"/>
    <w:rsid w:val="00AF7C4E"/>
    <w:rsid w:val="00B55743"/>
    <w:rsid w:val="00BA744A"/>
    <w:rsid w:val="00BB11E8"/>
    <w:rsid w:val="00BF3389"/>
    <w:rsid w:val="00C4189B"/>
    <w:rsid w:val="00CF05EE"/>
    <w:rsid w:val="00D209B5"/>
    <w:rsid w:val="00D24C49"/>
    <w:rsid w:val="00D356F7"/>
    <w:rsid w:val="00D555DE"/>
    <w:rsid w:val="00E14475"/>
    <w:rsid w:val="00E317B0"/>
    <w:rsid w:val="00E57A90"/>
    <w:rsid w:val="00E70465"/>
    <w:rsid w:val="00F6622E"/>
    <w:rsid w:val="00F81B0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BD5D6"/>
  <w15:chartTrackingRefBased/>
  <w15:docId w15:val="{FA03E925-7067-45BE-9B56-633684ED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16</TotalTime>
  <Pages>1</Pages>
  <Words>242</Words>
  <Characters>1580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23</cp:revision>
  <cp:lastPrinted>2026-01-29T03:21:00Z</cp:lastPrinted>
  <dcterms:created xsi:type="dcterms:W3CDTF">2026-02-22T22:38:00Z</dcterms:created>
  <dcterms:modified xsi:type="dcterms:W3CDTF">2026-02-22T22:53:00Z</dcterms:modified>
</cp:coreProperties>
</file>