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9C2F0" w14:textId="77777777" w:rsidR="00C25B88" w:rsidRPr="00C25B88" w:rsidRDefault="00C25B88" w:rsidP="00C25B88">
      <w:pPr>
        <w:rPr>
          <w:b/>
          <w:bCs/>
        </w:rPr>
      </w:pPr>
      <w:r w:rsidRPr="00C25B88">
        <w:rPr>
          <w:b/>
          <w:bCs/>
        </w:rPr>
        <w:t>Trade Compliance Manager, Americas</w:t>
      </w:r>
    </w:p>
    <w:p w14:paraId="2C46263A" w14:textId="77777777" w:rsidR="00C25B88" w:rsidRPr="00C25B88" w:rsidRDefault="00C25B88" w:rsidP="00C25B88">
      <w:r w:rsidRPr="00C25B88">
        <w:t>At Fiskars Group we are unified and driven by our common purpose: pioneering design to make the everyday extraordinary. Join our team and seize the extraordinary opportunity to influence the everyday!</w:t>
      </w:r>
    </w:p>
    <w:p w14:paraId="1A355876" w14:textId="77777777" w:rsidR="00C25B88" w:rsidRPr="00C25B88" w:rsidRDefault="00C25B88" w:rsidP="00C25B88">
      <w:r w:rsidRPr="00C25B88">
        <w:t>Fiskars Group is seeking a skilled Trade Compliance Manager, Americas to lead our Trade Compliance Team in the United States. As a key member of the Group Tax and Customs team, this role is responsible for overseeing and managing trade compliance activities and processes across Fiskars Group legal entities in the USA and Canada.</w:t>
      </w:r>
    </w:p>
    <w:p w14:paraId="0B8F7519" w14:textId="77777777" w:rsidR="00C25B88" w:rsidRPr="00C25B88" w:rsidRDefault="00C25B88" w:rsidP="00C25B88">
      <w:r w:rsidRPr="00C25B88">
        <w:t>Key Responsibilities</w:t>
      </w:r>
    </w:p>
    <w:p w14:paraId="198BE579" w14:textId="630CFDFC" w:rsidR="00C25B88" w:rsidRPr="00C25B88" w:rsidRDefault="00C25B88" w:rsidP="00C25B88">
      <w:pPr>
        <w:numPr>
          <w:ilvl w:val="0"/>
          <w:numId w:val="1"/>
        </w:numPr>
      </w:pPr>
      <w:r w:rsidRPr="00C25B88">
        <w:t xml:space="preserve">Import &amp; Export Compliance: Oversee and perform import/export </w:t>
      </w:r>
      <w:r w:rsidRPr="00C25B88">
        <w:t>compliance activities</w:t>
      </w:r>
      <w:r w:rsidRPr="00C25B88">
        <w:t>, including export control requirements, ensuring adherence to U.S. and Canadian government regulations and operational procedures</w:t>
      </w:r>
    </w:p>
    <w:p w14:paraId="26EF1EF0" w14:textId="77777777" w:rsidR="00C25B88" w:rsidRPr="00C25B88" w:rsidRDefault="00C25B88" w:rsidP="00C25B88">
      <w:pPr>
        <w:numPr>
          <w:ilvl w:val="0"/>
          <w:numId w:val="1"/>
        </w:numPr>
      </w:pPr>
      <w:r w:rsidRPr="00C25B88">
        <w:t>Compliance Program Management:</w:t>
      </w:r>
    </w:p>
    <w:p w14:paraId="3E8297B5" w14:textId="77777777" w:rsidR="00C25B88" w:rsidRPr="00C25B88" w:rsidRDefault="00C25B88" w:rsidP="00C25B88">
      <w:pPr>
        <w:numPr>
          <w:ilvl w:val="1"/>
          <w:numId w:val="1"/>
        </w:numPr>
      </w:pPr>
      <w:r w:rsidRPr="00C25B88">
        <w:t>Manage CTPAT program (security and compliance), binding ruling requests, customs valuations and country-of-origin determinations.</w:t>
      </w:r>
    </w:p>
    <w:p w14:paraId="3302CF46" w14:textId="77777777" w:rsidR="00C25B88" w:rsidRPr="00C25B88" w:rsidRDefault="00C25B88" w:rsidP="00C25B88">
      <w:pPr>
        <w:numPr>
          <w:ilvl w:val="1"/>
          <w:numId w:val="1"/>
        </w:numPr>
      </w:pPr>
      <w:r w:rsidRPr="00C25B88">
        <w:t>Maintain and enhance Fiskars Group’s internal trade compliance program. Ensure that compliance manuals, policies, and procedures are current and effective.</w:t>
      </w:r>
    </w:p>
    <w:p w14:paraId="0DD68613" w14:textId="77777777" w:rsidR="00C25B88" w:rsidRPr="00C25B88" w:rsidRDefault="00C25B88" w:rsidP="00C25B88">
      <w:pPr>
        <w:numPr>
          <w:ilvl w:val="1"/>
          <w:numId w:val="1"/>
        </w:numPr>
      </w:pPr>
      <w:r w:rsidRPr="00C25B88">
        <w:t>Manage special tariff/trade programs; conduct internal assessments for continued participation and report findings.</w:t>
      </w:r>
    </w:p>
    <w:p w14:paraId="79E251FA" w14:textId="77777777" w:rsidR="00C25B88" w:rsidRPr="00C25B88" w:rsidRDefault="00C25B88" w:rsidP="00C25B88">
      <w:pPr>
        <w:numPr>
          <w:ilvl w:val="0"/>
          <w:numId w:val="1"/>
        </w:numPr>
      </w:pPr>
      <w:r w:rsidRPr="00C25B88">
        <w:t>Risk Assessment and Training: Develop and deliver procedures, training modules, awareness initiatives, and assessment programs to identify compliance risks and implement corrective actions.</w:t>
      </w:r>
    </w:p>
    <w:p w14:paraId="7A6FE42B" w14:textId="77777777" w:rsidR="00C25B88" w:rsidRPr="00C25B88" w:rsidRDefault="00C25B88" w:rsidP="00C25B88">
      <w:pPr>
        <w:numPr>
          <w:ilvl w:val="0"/>
          <w:numId w:val="1"/>
        </w:numPr>
      </w:pPr>
      <w:r w:rsidRPr="00C25B88">
        <w:t>Tariff Classification: Classify and record products with accurate HTS codes; determine applicability of antidumping/countervailing duties, Section 301, IEEPA, and Section 232 duties.</w:t>
      </w:r>
    </w:p>
    <w:p w14:paraId="31914BAB" w14:textId="77777777" w:rsidR="00C25B88" w:rsidRPr="00C25B88" w:rsidRDefault="00C25B88" w:rsidP="00C25B88">
      <w:pPr>
        <w:numPr>
          <w:ilvl w:val="0"/>
          <w:numId w:val="1"/>
        </w:numPr>
      </w:pPr>
      <w:r w:rsidRPr="00C25B88">
        <w:t>Customs Filings: Ensure proper declarations on import and export filings (HTS/Schedule B, ECCN, PGA requirements, valuation, etc.).</w:t>
      </w:r>
    </w:p>
    <w:p w14:paraId="2E10B750" w14:textId="77777777" w:rsidR="00C25B88" w:rsidRPr="00C25B88" w:rsidRDefault="00C25B88" w:rsidP="00C25B88">
      <w:pPr>
        <w:numPr>
          <w:ilvl w:val="0"/>
          <w:numId w:val="1"/>
        </w:numPr>
      </w:pPr>
      <w:r w:rsidRPr="00C25B88">
        <w:t>Admissibility Reviews and Issue Resolution: Conduct entry admissibility reviews for new products and resolve eventual product admissibility issues resulting from holds or detentions issued by U.S. Customs and Partner Government Agencies (incl. CF28/CF29 notices).</w:t>
      </w:r>
    </w:p>
    <w:p w14:paraId="525549E2" w14:textId="77777777" w:rsidR="00C25B88" w:rsidRPr="00C25B88" w:rsidRDefault="00C25B88" w:rsidP="00C25B88">
      <w:pPr>
        <w:numPr>
          <w:ilvl w:val="0"/>
          <w:numId w:val="1"/>
        </w:numPr>
      </w:pPr>
      <w:r w:rsidRPr="00C25B88">
        <w:lastRenderedPageBreak/>
        <w:t>Systems &amp; Reporting: Access and run reports in ACE (U.S. Customs), CARM (Canada) and SAP ERP to verify accurate reporting and for the purposes of internal analysis.</w:t>
      </w:r>
    </w:p>
    <w:p w14:paraId="2D004A6E" w14:textId="77777777" w:rsidR="00C25B88" w:rsidRPr="00C25B88" w:rsidRDefault="00C25B88" w:rsidP="00C25B88">
      <w:pPr>
        <w:numPr>
          <w:ilvl w:val="0"/>
          <w:numId w:val="1"/>
        </w:numPr>
      </w:pPr>
      <w:r w:rsidRPr="00C25B88">
        <w:t>Audit &amp; Reconciliation:</w:t>
      </w:r>
    </w:p>
    <w:p w14:paraId="7F3423F1" w14:textId="77777777" w:rsidR="00C25B88" w:rsidRPr="00C25B88" w:rsidRDefault="00C25B88" w:rsidP="00C25B88">
      <w:pPr>
        <w:numPr>
          <w:ilvl w:val="1"/>
          <w:numId w:val="1"/>
        </w:numPr>
      </w:pPr>
      <w:r w:rsidRPr="00C25B88">
        <w:t>Manage post-entry audits, value reconciliation, and reporting.</w:t>
      </w:r>
    </w:p>
    <w:p w14:paraId="0E53C76B" w14:textId="77777777" w:rsidR="00C25B88" w:rsidRPr="00C25B88" w:rsidRDefault="00C25B88" w:rsidP="00C25B88">
      <w:pPr>
        <w:numPr>
          <w:ilvl w:val="1"/>
          <w:numId w:val="1"/>
        </w:numPr>
      </w:pPr>
      <w:r w:rsidRPr="00C25B88">
        <w:t>Conduct internal trade compliance audits, assess risks, implement improvements, and report findings to Group and Business Area Management and report annually to CBP via ISA.</w:t>
      </w:r>
    </w:p>
    <w:p w14:paraId="3F1618E1" w14:textId="77777777" w:rsidR="00C25B88" w:rsidRPr="00C25B88" w:rsidRDefault="00C25B88" w:rsidP="00C25B88">
      <w:pPr>
        <w:numPr>
          <w:ilvl w:val="0"/>
          <w:numId w:val="1"/>
        </w:numPr>
      </w:pPr>
      <w:r w:rsidRPr="00C25B88">
        <w:t>Customs Interaction: Coordinate and manage interactions with U.S. and Canada Customs, including audits, protests, post-summary corrections, prior disclosures and CTPAT security issues.</w:t>
      </w:r>
    </w:p>
    <w:p w14:paraId="4DC554BE" w14:textId="77777777" w:rsidR="00C25B88" w:rsidRPr="00C25B88" w:rsidRDefault="00C25B88" w:rsidP="00C25B88">
      <w:pPr>
        <w:numPr>
          <w:ilvl w:val="0"/>
          <w:numId w:val="1"/>
        </w:numPr>
      </w:pPr>
      <w:r w:rsidRPr="00C25B88">
        <w:t>Documentation: Ensure complete, accurate, and accessible filing systems for import/export records.</w:t>
      </w:r>
    </w:p>
    <w:p w14:paraId="2650D12B" w14:textId="77777777" w:rsidR="00C25B88" w:rsidRPr="00C25B88" w:rsidRDefault="00C25B88" w:rsidP="00C25B88">
      <w:pPr>
        <w:numPr>
          <w:ilvl w:val="0"/>
          <w:numId w:val="1"/>
        </w:numPr>
      </w:pPr>
      <w:r w:rsidRPr="00C25B88">
        <w:t>Regulatory Awareness: Stay current with evolving trade laws and regulations; complete ongoing training to identify compliance opportunities.</w:t>
      </w:r>
    </w:p>
    <w:p w14:paraId="057537CA" w14:textId="77777777" w:rsidR="00C25B88" w:rsidRPr="00C25B88" w:rsidRDefault="00C25B88" w:rsidP="00C25B88">
      <w:pPr>
        <w:numPr>
          <w:ilvl w:val="0"/>
          <w:numId w:val="1"/>
        </w:numPr>
      </w:pPr>
      <w:r w:rsidRPr="00C25B88">
        <w:t>Cost Optimization: Perform continuous cost-saving reviews and provide recommendations to stakeholders.</w:t>
      </w:r>
    </w:p>
    <w:p w14:paraId="7CE9F9B3" w14:textId="77777777" w:rsidR="00C25B88" w:rsidRPr="00C25B88" w:rsidRDefault="00C25B88" w:rsidP="00C25B88">
      <w:pPr>
        <w:numPr>
          <w:ilvl w:val="0"/>
          <w:numId w:val="1"/>
        </w:numPr>
      </w:pPr>
      <w:r w:rsidRPr="00C25B88">
        <w:t>Stakeholder Engagement: Proactively collaborate with internal teams (e.g. Business Area Management, Supply Chain, New Product Development, Customer Service, Finance) to promote compliance and ensure it aligns with business needs.</w:t>
      </w:r>
    </w:p>
    <w:p w14:paraId="371D4682" w14:textId="77777777" w:rsidR="00C25B88" w:rsidRPr="00C25B88" w:rsidRDefault="00C25B88" w:rsidP="00C25B88">
      <w:pPr>
        <w:numPr>
          <w:ilvl w:val="0"/>
          <w:numId w:val="1"/>
        </w:numPr>
      </w:pPr>
      <w:r w:rsidRPr="00C25B88">
        <w:t>External Relations: Manage relationships with customs brokers, logistics service providers, and government authorities to ensure that the business objectives are met.</w:t>
      </w:r>
    </w:p>
    <w:p w14:paraId="7926B414" w14:textId="77777777" w:rsidR="00C25B88" w:rsidRPr="00C25B88" w:rsidRDefault="00C25B88" w:rsidP="00C25B88">
      <w:pPr>
        <w:numPr>
          <w:ilvl w:val="0"/>
          <w:numId w:val="1"/>
        </w:numPr>
      </w:pPr>
      <w:r w:rsidRPr="00C25B88">
        <w:t>Team Leadership: Leading and managing a small team of trade compliance experts, based in the US.</w:t>
      </w:r>
    </w:p>
    <w:p w14:paraId="5CD74EB6" w14:textId="77777777" w:rsidR="00C25B88" w:rsidRPr="00C25B88" w:rsidRDefault="00C25B88" w:rsidP="00C25B88">
      <w:r w:rsidRPr="00C25B88">
        <w:t>Qualifications</w:t>
      </w:r>
    </w:p>
    <w:p w14:paraId="4AF3883D" w14:textId="77777777" w:rsidR="00C25B88" w:rsidRPr="00C25B88" w:rsidRDefault="00C25B88" w:rsidP="00C25B88">
      <w:pPr>
        <w:numPr>
          <w:ilvl w:val="0"/>
          <w:numId w:val="2"/>
        </w:numPr>
      </w:pPr>
      <w:r w:rsidRPr="00C25B88">
        <w:t>Bachelor’s/</w:t>
      </w:r>
      <w:proofErr w:type="gramStart"/>
      <w:r w:rsidRPr="00C25B88">
        <w:t>Master’s degree in International Business</w:t>
      </w:r>
      <w:proofErr w:type="gramEnd"/>
      <w:r w:rsidRPr="00C25B88">
        <w:t>, Supply Chain, Customs, or related field.</w:t>
      </w:r>
    </w:p>
    <w:p w14:paraId="7BBE6A1E" w14:textId="77777777" w:rsidR="00C25B88" w:rsidRPr="00C25B88" w:rsidRDefault="00C25B88" w:rsidP="00C25B88">
      <w:pPr>
        <w:numPr>
          <w:ilvl w:val="0"/>
          <w:numId w:val="2"/>
        </w:numPr>
      </w:pPr>
      <w:r w:rsidRPr="00C25B88">
        <w:t>Licensed US Customs Broker</w:t>
      </w:r>
    </w:p>
    <w:p w14:paraId="52F9F88F" w14:textId="77777777" w:rsidR="00C25B88" w:rsidRPr="00C25B88" w:rsidRDefault="00C25B88" w:rsidP="00C25B88">
      <w:pPr>
        <w:numPr>
          <w:ilvl w:val="0"/>
          <w:numId w:val="2"/>
        </w:numPr>
      </w:pPr>
      <w:r w:rsidRPr="00C25B88">
        <w:t>Minimum 7 years of experience in U.S. trade compliance management. Experience in Canadian imports is advantage</w:t>
      </w:r>
    </w:p>
    <w:p w14:paraId="5AC162EF" w14:textId="77777777" w:rsidR="00C25B88" w:rsidRPr="00C25B88" w:rsidRDefault="00C25B88" w:rsidP="00C25B88">
      <w:pPr>
        <w:numPr>
          <w:ilvl w:val="0"/>
          <w:numId w:val="2"/>
        </w:numPr>
      </w:pPr>
      <w:r w:rsidRPr="00C25B88">
        <w:lastRenderedPageBreak/>
        <w:t>Strong knowledge of U.S. customs laws and regulations, harmonized tariff classification, and application of export/import trade regulations.</w:t>
      </w:r>
    </w:p>
    <w:p w14:paraId="47FD549F" w14:textId="77777777" w:rsidR="00C25B88" w:rsidRPr="00C25B88" w:rsidRDefault="00C25B88" w:rsidP="00C25B88">
      <w:pPr>
        <w:numPr>
          <w:ilvl w:val="0"/>
          <w:numId w:val="2"/>
        </w:numPr>
      </w:pPr>
      <w:r w:rsidRPr="00C25B88">
        <w:t>Experience managing CTPAT, audits, and Customs interactions.</w:t>
      </w:r>
    </w:p>
    <w:p w14:paraId="5CA443E2" w14:textId="77777777" w:rsidR="00C25B88" w:rsidRPr="00C25B88" w:rsidRDefault="00C25B88" w:rsidP="00C25B88">
      <w:pPr>
        <w:numPr>
          <w:ilvl w:val="0"/>
          <w:numId w:val="2"/>
        </w:numPr>
      </w:pPr>
      <w:r w:rsidRPr="00C25B88">
        <w:t>Excellent communication, leadership, and stakeholder management skills.</w:t>
      </w:r>
    </w:p>
    <w:p w14:paraId="24CD1310" w14:textId="77777777" w:rsidR="00C25B88" w:rsidRPr="00C25B88" w:rsidRDefault="00C25B88" w:rsidP="00C25B88">
      <w:pPr>
        <w:numPr>
          <w:ilvl w:val="0"/>
          <w:numId w:val="2"/>
        </w:numPr>
      </w:pPr>
      <w:r w:rsidRPr="00C25B88">
        <w:t>Ability to communicate complex issues, risks and opportunities in easily understood and concise manner, with specific and complete information.</w:t>
      </w:r>
    </w:p>
    <w:p w14:paraId="6A611E1C" w14:textId="77777777" w:rsidR="00C25B88" w:rsidRPr="00C25B88" w:rsidRDefault="00C25B88" w:rsidP="00C25B88">
      <w:pPr>
        <w:numPr>
          <w:ilvl w:val="0"/>
          <w:numId w:val="2"/>
        </w:numPr>
      </w:pPr>
      <w:r w:rsidRPr="00C25B88">
        <w:t>Ability to work cross-functionally and drive compliance culture across diverse teams.</w:t>
      </w:r>
    </w:p>
    <w:p w14:paraId="2ACCF516" w14:textId="77777777" w:rsidR="00C25B88" w:rsidRPr="00C25B88" w:rsidRDefault="00C25B88" w:rsidP="00C25B88">
      <w:pPr>
        <w:numPr>
          <w:ilvl w:val="0"/>
          <w:numId w:val="2"/>
        </w:numPr>
      </w:pPr>
      <w:r w:rsidRPr="00C25B88">
        <w:t xml:space="preserve">Excellent </w:t>
      </w:r>
      <w:proofErr w:type="gramStart"/>
      <w:r w:rsidRPr="00C25B88">
        <w:t>problem solving</w:t>
      </w:r>
      <w:proofErr w:type="gramEnd"/>
      <w:r w:rsidRPr="00C25B88">
        <w:t xml:space="preserve"> skills.</w:t>
      </w:r>
    </w:p>
    <w:p w14:paraId="13E30976" w14:textId="77777777" w:rsidR="00C25B88" w:rsidRPr="00C25B88" w:rsidRDefault="00C25B88" w:rsidP="00C25B88">
      <w:pPr>
        <w:numPr>
          <w:ilvl w:val="0"/>
          <w:numId w:val="2"/>
        </w:numPr>
      </w:pPr>
      <w:r w:rsidRPr="00C25B88">
        <w:t>Interest and ability to utilize AI in problem solving and in enhancing processes.</w:t>
      </w:r>
    </w:p>
    <w:p w14:paraId="07EEBDC0" w14:textId="77777777" w:rsidR="00C25B88" w:rsidRPr="00C25B88" w:rsidRDefault="00C25B88" w:rsidP="00C25B88">
      <w:r w:rsidRPr="00C25B88">
        <w:t>We are reviewing candidates on a continuous basis, so please send in your application already today!</w:t>
      </w:r>
    </w:p>
    <w:p w14:paraId="6CF225F8" w14:textId="77777777" w:rsidR="00C25B88" w:rsidRPr="00C25B88" w:rsidRDefault="00C25B88" w:rsidP="00C25B88">
      <w:r w:rsidRPr="00C25B88">
        <w:t>Last day of application:</w:t>
      </w:r>
    </w:p>
    <w:p w14:paraId="20A79647" w14:textId="77777777" w:rsidR="00C25B88" w:rsidRPr="00C25B88" w:rsidRDefault="00C25B88" w:rsidP="00C25B88">
      <w:r w:rsidRPr="00C25B88">
        <w:t>2025-12-30</w:t>
      </w:r>
    </w:p>
    <w:p w14:paraId="583CECF2" w14:textId="77777777" w:rsidR="00C25B88" w:rsidRPr="00C25B88" w:rsidRDefault="00C25B88" w:rsidP="00C25B88">
      <w:r w:rsidRPr="00C25B88">
        <w:t>*****</w:t>
      </w:r>
    </w:p>
    <w:p w14:paraId="345AE0DF" w14:textId="77777777" w:rsidR="00C25B88" w:rsidRPr="00C25B88" w:rsidRDefault="00C25B88" w:rsidP="00C25B88">
      <w:r w:rsidRPr="00C25B88">
        <w:t>At Fiskars Group, we value providing benefits that matter to you and cater to our diverse global workforce, no matter where you are in the world. While benefits may vary based on location, here are some of the incredible offerings you can expect when joining our team:</w:t>
      </w:r>
    </w:p>
    <w:p w14:paraId="1D71A680" w14:textId="77777777" w:rsidR="00C25B88" w:rsidRPr="00C25B88" w:rsidRDefault="00C25B88" w:rsidP="00C25B88">
      <w:r w:rsidRPr="00C25B88">
        <w:t xml:space="preserve">Competitive Compensation: We ensure that our employees are </w:t>
      </w:r>
      <w:proofErr w:type="gramStart"/>
      <w:r w:rsidRPr="00C25B88">
        <w:t>fairly compensated</w:t>
      </w:r>
      <w:proofErr w:type="gramEnd"/>
      <w:r w:rsidRPr="00C25B88">
        <w:t xml:space="preserve"> based on industry standards and local market factors.</w:t>
      </w:r>
    </w:p>
    <w:p w14:paraId="2C0D4E06" w14:textId="77777777" w:rsidR="00C25B88" w:rsidRPr="00C25B88" w:rsidRDefault="00C25B88" w:rsidP="00C25B88">
      <w:r w:rsidRPr="00C25B88">
        <w:t xml:space="preserve">Health and Wellness: Your well-being matters to </w:t>
      </w:r>
      <w:proofErr w:type="gramStart"/>
      <w:r w:rsidRPr="00C25B88">
        <w:t>us</w:t>
      </w:r>
      <w:proofErr w:type="gramEnd"/>
      <w:r w:rsidRPr="00C25B88">
        <w:t xml:space="preserve"> and we want to help you achieve it. We offer well-being focused programs (funds for wellness activities; gym, yoga classes, etc.) and health insurance plans including medical, dental, and vision so you can take care of yourself and your loved ones.</w:t>
      </w:r>
    </w:p>
    <w:p w14:paraId="157707A3" w14:textId="77777777" w:rsidR="00C25B88" w:rsidRPr="00C25B88" w:rsidRDefault="00C25B88" w:rsidP="00C25B88">
      <w:r w:rsidRPr="00C25B88">
        <w:t>Work-Life Balance: We understand the need for balance in your life. Our paid time off plans and flexible work arrangements and policies are designed to accommodate local customs and personal commitments, enabling you to thrive in both your professional and personal life. We currently offer hybrid work arrangements where possible.</w:t>
      </w:r>
    </w:p>
    <w:p w14:paraId="126CA852" w14:textId="77777777" w:rsidR="00C25B88" w:rsidRPr="00C25B88" w:rsidRDefault="00C25B88" w:rsidP="00C25B88">
      <w:r w:rsidRPr="00C25B88">
        <w:t>Professional Development: We believe in nurturing talent and supporting professional growth. Through training programs, skill development initiatives, and learning resources, we empower our employees to reach their full potential.</w:t>
      </w:r>
    </w:p>
    <w:p w14:paraId="6D821CCA" w14:textId="77777777" w:rsidR="00C25B88" w:rsidRPr="00C25B88" w:rsidRDefault="00C25B88" w:rsidP="00C25B88">
      <w:r w:rsidRPr="00C25B88">
        <w:lastRenderedPageBreak/>
        <w:t xml:space="preserve">Future Planning: We care about your future. We offer retirement contribution matching providing you with financial security in your post-work years.  </w:t>
      </w:r>
    </w:p>
    <w:p w14:paraId="33976AC5" w14:textId="77777777" w:rsidR="00C25B88" w:rsidRPr="00C25B88" w:rsidRDefault="00C25B88" w:rsidP="00C25B88">
      <w:r w:rsidRPr="00C25B88">
        <w:t>Employee Support: Life happens, and we’re here to support you. We currently offer paid sick leave, paid parental leave (for both birthing and non-birthing parent) and employee assistance programs and resources to address local needs, offering confidential counseling, financial guidance, and other valuable support services.</w:t>
      </w:r>
    </w:p>
    <w:p w14:paraId="52E7C4EF" w14:textId="77777777" w:rsidR="00C25B88" w:rsidRPr="00C25B88" w:rsidRDefault="00C25B88" w:rsidP="00C25B88">
      <w:r w:rsidRPr="00C25B88">
        <w:t>Inclusive and Diverse Environment: We value diversity and promote inclusivity. Join a workplace where your unique background and perspectives are celebrated, fostering collaboration and respect across all our markets.</w:t>
      </w:r>
    </w:p>
    <w:p w14:paraId="207AD599" w14:textId="77777777" w:rsidR="00C25B88" w:rsidRPr="00C25B88" w:rsidRDefault="00C25B88" w:rsidP="00C25B88">
      <w:r w:rsidRPr="00C25B88">
        <w:t>Recognition and Rewards: We believe in celebrating and recognizing the contributions of our employees worldwide. Our recognition programs are designed to acknowledge exceptional performance and achievements, ensuring that your efforts are celebrated and valued. We offer bonus incentives, and profit sharing.</w:t>
      </w:r>
    </w:p>
    <w:p w14:paraId="23612115" w14:textId="77777777" w:rsidR="00C25B88" w:rsidRPr="00C25B88" w:rsidRDefault="00C25B88" w:rsidP="00C25B88">
      <w:r w:rsidRPr="00C25B88">
        <w:t xml:space="preserve">Vested Interest: Through our Employee Share Purchase Plan (ESPP), you </w:t>
      </w:r>
      <w:proofErr w:type="gramStart"/>
      <w:r w:rsidRPr="00C25B88">
        <w:t>have the opportunity to</w:t>
      </w:r>
      <w:proofErr w:type="gramEnd"/>
      <w:r w:rsidRPr="00C25B88">
        <w:t xml:space="preserve"> invest in Fiskars Group and become a proud co-owner, sharing in the success and growth of the company.</w:t>
      </w:r>
    </w:p>
    <w:p w14:paraId="603ED594" w14:textId="77777777" w:rsidR="00C25B88" w:rsidRPr="00C25B88" w:rsidRDefault="00C25B88" w:rsidP="00C25B88">
      <w:r w:rsidRPr="00C25B88">
        <w:t>Employee Discounts: We want to ensure our team members make each day extraordinary with use of our products and offer product discounts across our brands.</w:t>
      </w:r>
    </w:p>
    <w:p w14:paraId="65947C62" w14:textId="77777777" w:rsidR="00C25B88" w:rsidRPr="00C25B88" w:rsidRDefault="00C25B88" w:rsidP="00C25B88">
      <w:r w:rsidRPr="00C25B88">
        <w:rPr>
          <w:i/>
          <w:iCs/>
        </w:rPr>
        <w:t>Please note that specific benefits may vary based on local regulations, market conditions, and other factors. We are committed to providing competitive and meaningful benefits to our employees in every market we operate.</w:t>
      </w:r>
    </w:p>
    <w:p w14:paraId="0C74B1D8" w14:textId="77777777" w:rsidR="00C25B88" w:rsidRPr="00C25B88" w:rsidRDefault="00C25B88" w:rsidP="00C25B88">
      <w:r w:rsidRPr="00C25B88">
        <w:t xml:space="preserve">***** </w:t>
      </w:r>
    </w:p>
    <w:p w14:paraId="73D750B5" w14:textId="77777777" w:rsidR="00C25B88" w:rsidRPr="00C25B88" w:rsidRDefault="00C25B88" w:rsidP="00C25B88">
      <w:r w:rsidRPr="00C25B88">
        <w:rPr>
          <w:i/>
          <w:iCs/>
        </w:rPr>
        <w:t>Pioneering design to make the everyday extraordinary </w:t>
      </w:r>
    </w:p>
    <w:p w14:paraId="26401429" w14:textId="77777777" w:rsidR="00C25B88" w:rsidRPr="00C25B88" w:rsidRDefault="00C25B88" w:rsidP="00C25B88">
      <w:r w:rsidRPr="00C25B88">
        <w:br/>
      </w:r>
      <w:r w:rsidRPr="00C25B88">
        <w:rPr>
          <w:i/>
          <w:iCs/>
        </w:rPr>
        <w:t xml:space="preserve">Fiskars Group (FSKRS, Nasdaq Helsinki) is the global home of design-driven brands for indoor and outdoor living. Since 1649, we have designed products of timeless, purposeful, and functional beauty, while driving innovation and sustainable growth. In 2024, Fiskars Group’s global net sales were EUR 1.2 billion and we had close to 7,000 employees. We have two Business Areas (BA), Vita and Fiskars. </w:t>
      </w:r>
    </w:p>
    <w:p w14:paraId="03522BA9" w14:textId="77777777" w:rsidR="00C25B88" w:rsidRPr="00C25B88" w:rsidRDefault="00C25B88" w:rsidP="00C25B88">
      <w:r w:rsidRPr="00C25B88">
        <w:rPr>
          <w:i/>
          <w:iCs/>
        </w:rPr>
        <w:t xml:space="preserve">BA Vita offers premium and luxury products for the tableware, drinkware, jewelry and interior categories. Its well-known brands include Georg Jensen, Royal Copenhagen, Wedgwood, Moomin Arabia, Iittala and Waterford. In 2024, BA Vita’s reported net sales </w:t>
      </w:r>
      <w:r w:rsidRPr="00C25B88">
        <w:rPr>
          <w:i/>
          <w:iCs/>
        </w:rPr>
        <w:lastRenderedPageBreak/>
        <w:t>were EUR 605 million. Already 50% of BA Vita’s net sales comes from direct-to-consumer sales, comprising approximately 500 stores and approximately 60 e-commerce sites.   </w:t>
      </w:r>
    </w:p>
    <w:p w14:paraId="02619FCE" w14:textId="77777777" w:rsidR="00C25B88" w:rsidRPr="00C25B88" w:rsidRDefault="00C25B88" w:rsidP="00C25B88">
      <w:r w:rsidRPr="00C25B88">
        <w:rPr>
          <w:i/>
          <w:iCs/>
        </w:rPr>
        <w:t>BA Fiskars consists of the gardening and outdoor categories, in addition to the scissors and creating, as well as cooking categories. The brands include Fiskars and Gerber. In 2024, BA Fiskars’ net sales were EUR 547 million.  </w:t>
      </w:r>
    </w:p>
    <w:p w14:paraId="763C5829" w14:textId="77777777" w:rsidR="00C25B88" w:rsidRPr="00C25B88" w:rsidRDefault="00C25B88" w:rsidP="00C25B88">
      <w:r w:rsidRPr="00C25B88">
        <w:rPr>
          <w:i/>
          <w:iCs/>
        </w:rPr>
        <w:t xml:space="preserve">Read more: </w:t>
      </w:r>
      <w:hyperlink r:id="rId5" w:tgtFrame="_blank" w:history="1">
        <w:r w:rsidRPr="00C25B88">
          <w:rPr>
            <w:rStyle w:val="Hyperlink"/>
          </w:rPr>
          <w:t>fiskarsgroup.com</w:t>
        </w:r>
      </w:hyperlink>
    </w:p>
    <w:p w14:paraId="040F01D2" w14:textId="77777777" w:rsidR="00C25B88" w:rsidRPr="00C25B88" w:rsidRDefault="00C25B88" w:rsidP="00C25B88">
      <w:r w:rsidRPr="00C25B88">
        <w:rPr>
          <w:i/>
          <w:iCs/>
        </w:rPr>
        <w:t xml:space="preserve">US Legal Disclaimer: Fiskars Group is an equal opportunity employer. We believe diversity in our workforce is essential to a successful business. We condemn any form of racism and discrimination. We support and stand with those who speak out and seek justice. We strive to be a diverse and collaborative environment. </w:t>
      </w:r>
    </w:p>
    <w:p w14:paraId="4EC59AE6" w14:textId="77777777" w:rsidR="00C25B88" w:rsidRPr="00C25B88" w:rsidRDefault="00C25B88" w:rsidP="00C25B88">
      <w:r w:rsidRPr="00C25B88">
        <w:rPr>
          <w:i/>
          <w:iCs/>
        </w:rPr>
        <w:t xml:space="preserve">If you are an individual with a disability and need assistance applying for employment, please let us know by emailing </w:t>
      </w:r>
      <w:hyperlink r:id="rId6" w:tgtFrame="_blank" w:history="1">
        <w:r w:rsidRPr="00C25B88">
          <w:rPr>
            <w:rStyle w:val="Hyperlink"/>
            <w:i/>
            <w:iCs/>
          </w:rPr>
          <w:t>applicants@fiskars.com</w:t>
        </w:r>
      </w:hyperlink>
      <w:r w:rsidRPr="00C25B88">
        <w:rPr>
          <w:i/>
          <w:iCs/>
        </w:rPr>
        <w:t>. It may take up to one business day for a response.</w:t>
      </w:r>
    </w:p>
    <w:p w14:paraId="0DD43995" w14:textId="77777777" w:rsidR="00C25B88" w:rsidRPr="00C25B88" w:rsidRDefault="00C25B88" w:rsidP="00C25B88">
      <w:r w:rsidRPr="00C25B88">
        <w:rPr>
          <w:i/>
          <w:iCs/>
        </w:rPr>
        <w:t xml:space="preserve">More information about Equal Employment Opportunity can be found </w:t>
      </w:r>
      <w:hyperlink r:id="rId7" w:tgtFrame="_blank" w:history="1">
        <w:r w:rsidRPr="00C25B88">
          <w:rPr>
            <w:rStyle w:val="Hyperlink"/>
            <w:i/>
            <w:iCs/>
          </w:rPr>
          <w:t>here</w:t>
        </w:r>
      </w:hyperlink>
      <w:r w:rsidRPr="00C25B88">
        <w:rPr>
          <w:i/>
          <w:iCs/>
        </w:rPr>
        <w:t xml:space="preserve"> and Pay Transparency can be found </w:t>
      </w:r>
      <w:hyperlink r:id="rId8" w:tgtFrame="_blank" w:history="1">
        <w:r w:rsidRPr="00C25B88">
          <w:rPr>
            <w:rStyle w:val="Hyperlink"/>
            <w:i/>
            <w:iCs/>
          </w:rPr>
          <w:t>here</w:t>
        </w:r>
      </w:hyperlink>
      <w:r w:rsidRPr="00C25B88">
        <w:rPr>
          <w:i/>
          <w:iCs/>
        </w:rPr>
        <w:t>.</w:t>
      </w:r>
    </w:p>
    <w:p w14:paraId="5AEF4351" w14:textId="77777777" w:rsidR="00C25B88" w:rsidRDefault="00C25B88"/>
    <w:sectPr w:rsidR="00C25B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464"/>
    <w:multiLevelType w:val="multilevel"/>
    <w:tmpl w:val="7FBE0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8D1A8F"/>
    <w:multiLevelType w:val="multilevel"/>
    <w:tmpl w:val="0A1E8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86548194">
    <w:abstractNumId w:val="1"/>
  </w:num>
  <w:num w:numId="2" w16cid:durableId="2007901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B88"/>
    <w:rsid w:val="00A03D74"/>
    <w:rsid w:val="00B93459"/>
    <w:rsid w:val="00BE70B5"/>
    <w:rsid w:val="00C25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EBC54"/>
  <w15:chartTrackingRefBased/>
  <w15:docId w15:val="{28847E31-1407-455E-B7DD-DED44B856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5B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25B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5B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5B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5B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5B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5B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5B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5B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B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25B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5B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5B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5B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5B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5B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5B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5B88"/>
    <w:rPr>
      <w:rFonts w:eastAsiaTheme="majorEastAsia" w:cstheme="majorBidi"/>
      <w:color w:val="272727" w:themeColor="text1" w:themeTint="D8"/>
    </w:rPr>
  </w:style>
  <w:style w:type="paragraph" w:styleId="Title">
    <w:name w:val="Title"/>
    <w:basedOn w:val="Normal"/>
    <w:next w:val="Normal"/>
    <w:link w:val="TitleChar"/>
    <w:uiPriority w:val="10"/>
    <w:qFormat/>
    <w:rsid w:val="00C25B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5B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5B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5B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5B88"/>
    <w:pPr>
      <w:spacing w:before="160"/>
      <w:jc w:val="center"/>
    </w:pPr>
    <w:rPr>
      <w:i/>
      <w:iCs/>
      <w:color w:val="404040" w:themeColor="text1" w:themeTint="BF"/>
    </w:rPr>
  </w:style>
  <w:style w:type="character" w:customStyle="1" w:styleId="QuoteChar">
    <w:name w:val="Quote Char"/>
    <w:basedOn w:val="DefaultParagraphFont"/>
    <w:link w:val="Quote"/>
    <w:uiPriority w:val="29"/>
    <w:rsid w:val="00C25B88"/>
    <w:rPr>
      <w:i/>
      <w:iCs/>
      <w:color w:val="404040" w:themeColor="text1" w:themeTint="BF"/>
    </w:rPr>
  </w:style>
  <w:style w:type="paragraph" w:styleId="ListParagraph">
    <w:name w:val="List Paragraph"/>
    <w:basedOn w:val="Normal"/>
    <w:uiPriority w:val="34"/>
    <w:qFormat/>
    <w:rsid w:val="00C25B88"/>
    <w:pPr>
      <w:ind w:left="720"/>
      <w:contextualSpacing/>
    </w:pPr>
  </w:style>
  <w:style w:type="character" w:styleId="IntenseEmphasis">
    <w:name w:val="Intense Emphasis"/>
    <w:basedOn w:val="DefaultParagraphFont"/>
    <w:uiPriority w:val="21"/>
    <w:qFormat/>
    <w:rsid w:val="00C25B88"/>
    <w:rPr>
      <w:i/>
      <w:iCs/>
      <w:color w:val="0F4761" w:themeColor="accent1" w:themeShade="BF"/>
    </w:rPr>
  </w:style>
  <w:style w:type="paragraph" w:styleId="IntenseQuote">
    <w:name w:val="Intense Quote"/>
    <w:basedOn w:val="Normal"/>
    <w:next w:val="Normal"/>
    <w:link w:val="IntenseQuoteChar"/>
    <w:uiPriority w:val="30"/>
    <w:qFormat/>
    <w:rsid w:val="00C25B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5B88"/>
    <w:rPr>
      <w:i/>
      <w:iCs/>
      <w:color w:val="0F4761" w:themeColor="accent1" w:themeShade="BF"/>
    </w:rPr>
  </w:style>
  <w:style w:type="character" w:styleId="IntenseReference">
    <w:name w:val="Intense Reference"/>
    <w:basedOn w:val="DefaultParagraphFont"/>
    <w:uiPriority w:val="32"/>
    <w:qFormat/>
    <w:rsid w:val="00C25B88"/>
    <w:rPr>
      <w:b/>
      <w:bCs/>
      <w:smallCaps/>
      <w:color w:val="0F4761" w:themeColor="accent1" w:themeShade="BF"/>
      <w:spacing w:val="5"/>
    </w:rPr>
  </w:style>
  <w:style w:type="character" w:styleId="Hyperlink">
    <w:name w:val="Hyperlink"/>
    <w:basedOn w:val="DefaultParagraphFont"/>
    <w:uiPriority w:val="99"/>
    <w:unhideWhenUsed/>
    <w:rsid w:val="00C25B88"/>
    <w:rPr>
      <w:color w:val="467886" w:themeColor="hyperlink"/>
      <w:u w:val="single"/>
    </w:rPr>
  </w:style>
  <w:style w:type="character" w:styleId="UnresolvedMention">
    <w:name w:val="Unresolved Mention"/>
    <w:basedOn w:val="DefaultParagraphFont"/>
    <w:uiPriority w:val="99"/>
    <w:semiHidden/>
    <w:unhideWhenUsed/>
    <w:rsid w:val="00C25B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36984">
      <w:bodyDiv w:val="1"/>
      <w:marLeft w:val="0"/>
      <w:marRight w:val="0"/>
      <w:marTop w:val="0"/>
      <w:marBottom w:val="0"/>
      <w:divBdr>
        <w:top w:val="none" w:sz="0" w:space="0" w:color="auto"/>
        <w:left w:val="none" w:sz="0" w:space="0" w:color="auto"/>
        <w:bottom w:val="none" w:sz="0" w:space="0" w:color="auto"/>
        <w:right w:val="none" w:sz="0" w:space="0" w:color="auto"/>
      </w:divBdr>
    </w:div>
    <w:div w:id="1466042087">
      <w:bodyDiv w:val="1"/>
      <w:marLeft w:val="0"/>
      <w:marRight w:val="0"/>
      <w:marTop w:val="0"/>
      <w:marBottom w:val="0"/>
      <w:divBdr>
        <w:top w:val="none" w:sz="0" w:space="0" w:color="auto"/>
        <w:left w:val="none" w:sz="0" w:space="0" w:color="auto"/>
        <w:bottom w:val="none" w:sz="0" w:space="0" w:color="auto"/>
        <w:right w:val="none" w:sz="0" w:space="0" w:color="auto"/>
      </w:divBdr>
    </w:div>
    <w:div w:id="1491217537">
      <w:bodyDiv w:val="1"/>
      <w:marLeft w:val="0"/>
      <w:marRight w:val="0"/>
      <w:marTop w:val="0"/>
      <w:marBottom w:val="0"/>
      <w:divBdr>
        <w:top w:val="none" w:sz="0" w:space="0" w:color="auto"/>
        <w:left w:val="none" w:sz="0" w:space="0" w:color="auto"/>
        <w:bottom w:val="none" w:sz="0" w:space="0" w:color="auto"/>
        <w:right w:val="none" w:sz="0" w:space="0" w:color="auto"/>
      </w:divBdr>
    </w:div>
    <w:div w:id="197271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n.appdocs.com/files/Graphics/ApplicantPro/GerberGear/PayTransparencyPoster.pdf" TargetMode="External"/><Relationship Id="rId3" Type="http://schemas.openxmlformats.org/officeDocument/2006/relationships/settings" Target="settings.xml"/><Relationship Id="rId7" Type="http://schemas.openxmlformats.org/officeDocument/2006/relationships/hyperlink" Target="https://www.eeoc.gov/employees-job-applica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pplicants@fiskars.com" TargetMode="External"/><Relationship Id="rId5" Type="http://schemas.openxmlformats.org/officeDocument/2006/relationships/hyperlink" Target="https://fiskarsgroup.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1398</Words>
  <Characters>7971</Characters>
  <Application>Microsoft Office Word</Application>
  <DocSecurity>0</DocSecurity>
  <Lines>66</Lines>
  <Paragraphs>18</Paragraphs>
  <ScaleCrop>false</ScaleCrop>
  <Company>Fiskars</Company>
  <LinksUpToDate>false</LinksUpToDate>
  <CharactersWithSpaces>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Bruckner, Kate</dc:creator>
  <cp:keywords/>
  <dc:description/>
  <cp:lastModifiedBy>Bruckner, Kate</cp:lastModifiedBy>
  <cp:revision>1</cp:revision>
  <dcterms:created xsi:type="dcterms:W3CDTF">2025-12-12T14:04:00Z</dcterms:created>
  <dcterms:modified xsi:type="dcterms:W3CDTF">2025-12-12T14:05:00Z</dcterms:modified>
</cp:coreProperties>
</file>