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DFCC2" w14:textId="77777777" w:rsidR="00653A9B" w:rsidRPr="00653A9B" w:rsidRDefault="00653A9B" w:rsidP="00653A9B">
      <w:r w:rsidRPr="00653A9B">
        <w:t>Opened 1 day ago</w:t>
      </w:r>
    </w:p>
    <w:p w14:paraId="5196946A" w14:textId="77777777" w:rsidR="00653A9B" w:rsidRPr="00653A9B" w:rsidRDefault="00653A9B" w:rsidP="00653A9B">
      <w:r w:rsidRPr="00653A9B">
        <w:t>Senior Director of ITC, Compliance and Legal</w:t>
      </w:r>
    </w:p>
    <w:p w14:paraId="18C87C9A" w14:textId="77777777" w:rsidR="00653A9B" w:rsidRPr="00653A9B" w:rsidRDefault="00653A9B" w:rsidP="00653A9B">
      <w:r w:rsidRPr="00653A9B">
        <w:t xml:space="preserve">Aviation </w:t>
      </w:r>
      <w:proofErr w:type="spellStart"/>
      <w:r w:rsidRPr="00653A9B">
        <w:t>LegalLegalSenior</w:t>
      </w:r>
      <w:proofErr w:type="spellEnd"/>
      <w:r w:rsidRPr="00653A9B">
        <w:t xml:space="preserve"> LevelR5008347Internal/</w:t>
      </w:r>
      <w:proofErr w:type="spellStart"/>
      <w:r w:rsidRPr="00653A9B">
        <w:t>ExternalRelocation</w:t>
      </w:r>
      <w:proofErr w:type="spellEnd"/>
      <w:r w:rsidRPr="00653A9B">
        <w:t xml:space="preserve"> </w:t>
      </w:r>
      <w:proofErr w:type="spellStart"/>
      <w:proofErr w:type="gramStart"/>
      <w:r w:rsidRPr="00653A9B">
        <w:t>Assistance:YesHiring</w:t>
      </w:r>
      <w:proofErr w:type="spellEnd"/>
      <w:proofErr w:type="gramEnd"/>
      <w:r w:rsidRPr="00653A9B">
        <w:t xml:space="preserve"> </w:t>
      </w:r>
      <w:proofErr w:type="spellStart"/>
      <w:r w:rsidRPr="00653A9B">
        <w:t>Manager:Shawn</w:t>
      </w:r>
      <w:proofErr w:type="spellEnd"/>
      <w:r w:rsidRPr="00653A9B">
        <w:t xml:space="preserve"> </w:t>
      </w:r>
      <w:proofErr w:type="spellStart"/>
      <w:r w:rsidRPr="00653A9B">
        <w:t>Burton</w:t>
      </w:r>
      <w:r w:rsidRPr="00653A9B">
        <w:rPr>
          <w:u w:val="single"/>
        </w:rPr>
        <w:t>Available</w:t>
      </w:r>
      <w:proofErr w:type="spellEnd"/>
      <w:r w:rsidRPr="00653A9B">
        <w:rPr>
          <w:u w:val="single"/>
        </w:rPr>
        <w:t xml:space="preserve"> in 2 locations</w:t>
      </w:r>
    </w:p>
    <w:p w14:paraId="5E60EE78" w14:textId="77777777" w:rsidR="00653A9B" w:rsidRPr="00653A9B" w:rsidRDefault="00653A9B" w:rsidP="00653A9B">
      <w:r w:rsidRPr="00653A9B">
        <w:rPr>
          <w:b/>
          <w:bCs/>
        </w:rPr>
        <w:t>Job Description Summary</w:t>
      </w:r>
    </w:p>
    <w:p w14:paraId="47A95938" w14:textId="77777777" w:rsidR="00653A9B" w:rsidRPr="00653A9B" w:rsidRDefault="00653A9B" w:rsidP="00653A9B">
      <w:r w:rsidRPr="00653A9B">
        <w:t>See Below</w:t>
      </w:r>
    </w:p>
    <w:p w14:paraId="46D09B33" w14:textId="77777777" w:rsidR="00653A9B" w:rsidRPr="00653A9B" w:rsidRDefault="00653A9B" w:rsidP="00653A9B">
      <w:r w:rsidRPr="00653A9B">
        <w:rPr>
          <w:b/>
          <w:bCs/>
        </w:rPr>
        <w:t>Job Description</w:t>
      </w:r>
    </w:p>
    <w:p w14:paraId="4BDED5E8" w14:textId="77777777" w:rsidR="00653A9B" w:rsidRPr="00653A9B" w:rsidRDefault="00653A9B" w:rsidP="00653A9B">
      <w:r w:rsidRPr="00653A9B">
        <w:rPr>
          <w:b/>
          <w:bCs/>
        </w:rPr>
        <w:t xml:space="preserve">Overview </w:t>
      </w:r>
    </w:p>
    <w:p w14:paraId="3EC11214" w14:textId="77777777" w:rsidR="00653A9B" w:rsidRPr="00653A9B" w:rsidRDefault="00653A9B" w:rsidP="00653A9B">
      <w:r w:rsidRPr="00653A9B">
        <w:t>The International Trade Compliance (ITC) team is responsible for the compliant execution of global export controls and sanctions laws and regulations. The successful candidate will report to the ITC Executive Leader and will be responsible for managing a team of attorneys and compliance professionals in a wide range of ITC counseling and risk management activities to facilitate compliance across the company’s global operations, including conducting ITC investigations, providing strategic trade controls counseling to business stakeholders, and managing and revising appropriate policies, procedures, technology tools, and other key ITC compliance controls.  Our legal and compliance team is critical to our business operations, consisting of savvy experts dedicated to enabling the business and keeping the company compliant with global trade laws and regulations.  This position will additionally be responsible for developing and monitoring adherence to key performance metrics and leveraging analytics to drive compliant execution and continuous improvement across the business.  </w:t>
      </w:r>
    </w:p>
    <w:p w14:paraId="0FDF5938" w14:textId="77777777" w:rsidR="00653A9B" w:rsidRPr="00653A9B" w:rsidRDefault="00653A9B" w:rsidP="00653A9B">
      <w:r w:rsidRPr="00653A9B">
        <w:rPr>
          <w:b/>
          <w:bCs/>
        </w:rPr>
        <w:t>Key responsibilities</w:t>
      </w:r>
    </w:p>
    <w:p w14:paraId="066E658E" w14:textId="77777777" w:rsidR="00653A9B" w:rsidRPr="00653A9B" w:rsidRDefault="00653A9B" w:rsidP="00653A9B">
      <w:pPr>
        <w:numPr>
          <w:ilvl w:val="0"/>
          <w:numId w:val="1"/>
        </w:numPr>
      </w:pPr>
      <w:r w:rsidRPr="00653A9B">
        <w:t>Strategically manage and conduct investigations into potential non-compliance and resulting disclosures to government agencies in the U.S. and abroad, leading a team of attorneys and managing outside counsel as necessary.</w:t>
      </w:r>
    </w:p>
    <w:p w14:paraId="543AB281" w14:textId="77777777" w:rsidR="00653A9B" w:rsidRPr="00653A9B" w:rsidRDefault="00653A9B" w:rsidP="00653A9B">
      <w:pPr>
        <w:numPr>
          <w:ilvl w:val="0"/>
          <w:numId w:val="1"/>
        </w:numPr>
      </w:pPr>
      <w:r w:rsidRPr="00653A9B">
        <w:t>Lead development, implementation, and managing of ITC policies, procedures, tools, and other compliance controls throughout the business.</w:t>
      </w:r>
    </w:p>
    <w:p w14:paraId="6ADEE85C" w14:textId="77777777" w:rsidR="00653A9B" w:rsidRPr="00653A9B" w:rsidRDefault="00653A9B" w:rsidP="00653A9B">
      <w:pPr>
        <w:numPr>
          <w:ilvl w:val="0"/>
          <w:numId w:val="1"/>
        </w:numPr>
      </w:pPr>
      <w:r w:rsidRPr="00653A9B">
        <w:t>Oversee business risk assessments and provide legal counsel related to sanctions and export controls, including to ensure timely review of updated export controls and newly designated parties under applicable sanctions (e.g., U.S., EU, and UK).</w:t>
      </w:r>
    </w:p>
    <w:p w14:paraId="0485080A" w14:textId="77777777" w:rsidR="00653A9B" w:rsidRPr="00653A9B" w:rsidRDefault="00653A9B" w:rsidP="00653A9B">
      <w:pPr>
        <w:numPr>
          <w:ilvl w:val="0"/>
          <w:numId w:val="1"/>
        </w:numPr>
      </w:pPr>
      <w:r w:rsidRPr="00653A9B">
        <w:t>Monitor proposed laws and regulations and provide advice to business stakeholders regarding implications and requirements on GE Aerospace’s business strategy.</w:t>
      </w:r>
    </w:p>
    <w:p w14:paraId="7E92096C" w14:textId="77777777" w:rsidR="00653A9B" w:rsidRPr="00653A9B" w:rsidRDefault="00653A9B" w:rsidP="00653A9B">
      <w:pPr>
        <w:numPr>
          <w:ilvl w:val="0"/>
          <w:numId w:val="1"/>
        </w:numPr>
      </w:pPr>
      <w:r w:rsidRPr="00653A9B">
        <w:t>Provide legal advice and counsel on ITC issues during due diligence and integration for strategic dispositions, mergers, and acquisition transactions.</w:t>
      </w:r>
    </w:p>
    <w:p w14:paraId="4380715D" w14:textId="77777777" w:rsidR="00653A9B" w:rsidRPr="00653A9B" w:rsidRDefault="00653A9B" w:rsidP="00653A9B">
      <w:pPr>
        <w:numPr>
          <w:ilvl w:val="0"/>
          <w:numId w:val="1"/>
        </w:numPr>
      </w:pPr>
      <w:r w:rsidRPr="00653A9B">
        <w:t>Facilitate internal audits and assessments of global sites, functions, and programs.</w:t>
      </w:r>
    </w:p>
    <w:p w14:paraId="3189E3D0" w14:textId="77777777" w:rsidR="00653A9B" w:rsidRPr="00653A9B" w:rsidRDefault="00653A9B" w:rsidP="00653A9B">
      <w:pPr>
        <w:numPr>
          <w:ilvl w:val="0"/>
          <w:numId w:val="1"/>
        </w:numPr>
      </w:pPr>
      <w:r w:rsidRPr="00653A9B">
        <w:t>Collaborate with ITC leadership, business leadership, and cross-functional teams to drive continuous improvement.</w:t>
      </w:r>
    </w:p>
    <w:p w14:paraId="11F5730A" w14:textId="77777777" w:rsidR="00653A9B" w:rsidRPr="00653A9B" w:rsidRDefault="00653A9B" w:rsidP="00653A9B">
      <w:pPr>
        <w:numPr>
          <w:ilvl w:val="0"/>
          <w:numId w:val="1"/>
        </w:numPr>
      </w:pPr>
      <w:r w:rsidRPr="00653A9B">
        <w:lastRenderedPageBreak/>
        <w:t>Manage a high-performing team of attorneys and practitioners, enabling the business and ensuring compliance with global trade laws and regulations.</w:t>
      </w:r>
    </w:p>
    <w:p w14:paraId="104AFD42" w14:textId="77777777" w:rsidR="00653A9B" w:rsidRPr="00653A9B" w:rsidRDefault="00653A9B" w:rsidP="00653A9B">
      <w:pPr>
        <w:numPr>
          <w:ilvl w:val="0"/>
          <w:numId w:val="1"/>
        </w:numPr>
      </w:pPr>
      <w:r w:rsidRPr="00653A9B">
        <w:t>Establish and support a strong culture of compliance across the enterprise.</w:t>
      </w:r>
    </w:p>
    <w:p w14:paraId="27E2906A" w14:textId="77777777" w:rsidR="00653A9B" w:rsidRPr="00653A9B" w:rsidRDefault="00653A9B" w:rsidP="00653A9B">
      <w:pPr>
        <w:numPr>
          <w:ilvl w:val="0"/>
          <w:numId w:val="1"/>
        </w:numPr>
      </w:pPr>
      <w:r w:rsidRPr="00653A9B">
        <w:t>Participate in relevant trade compliance associations and industry group discussions.</w:t>
      </w:r>
    </w:p>
    <w:p w14:paraId="39CAF844" w14:textId="77777777" w:rsidR="00653A9B" w:rsidRPr="00653A9B" w:rsidRDefault="00653A9B" w:rsidP="00653A9B">
      <w:pPr>
        <w:numPr>
          <w:ilvl w:val="0"/>
          <w:numId w:val="1"/>
        </w:numPr>
      </w:pPr>
      <w:r w:rsidRPr="00653A9B">
        <w:t>Lead engagement and communication with government officials, as required.</w:t>
      </w:r>
    </w:p>
    <w:p w14:paraId="3AA326AA" w14:textId="77777777" w:rsidR="00653A9B" w:rsidRPr="00653A9B" w:rsidRDefault="00653A9B" w:rsidP="00653A9B">
      <w:pPr>
        <w:numPr>
          <w:ilvl w:val="0"/>
          <w:numId w:val="1"/>
        </w:numPr>
      </w:pPr>
      <w:r w:rsidRPr="00653A9B">
        <w:t>Undertake special projects and support other compliance program continuous improvement initiatives.</w:t>
      </w:r>
    </w:p>
    <w:p w14:paraId="200F190F" w14:textId="77777777" w:rsidR="00653A9B" w:rsidRPr="00653A9B" w:rsidRDefault="00653A9B" w:rsidP="00653A9B">
      <w:r w:rsidRPr="00653A9B">
        <w:rPr>
          <w:b/>
          <w:bCs/>
        </w:rPr>
        <w:t>Minimum Requirements</w:t>
      </w:r>
    </w:p>
    <w:p w14:paraId="7E410AFE" w14:textId="77777777" w:rsidR="00653A9B" w:rsidRPr="00653A9B" w:rsidRDefault="00653A9B" w:rsidP="00653A9B">
      <w:pPr>
        <w:numPr>
          <w:ilvl w:val="0"/>
          <w:numId w:val="2"/>
        </w:numPr>
      </w:pPr>
      <w:r w:rsidRPr="00653A9B">
        <w:t>Juris Doctorate from accredited university</w:t>
      </w:r>
    </w:p>
    <w:p w14:paraId="204FBB78" w14:textId="77777777" w:rsidR="00653A9B" w:rsidRPr="00653A9B" w:rsidRDefault="00653A9B" w:rsidP="00653A9B">
      <w:pPr>
        <w:numPr>
          <w:ilvl w:val="0"/>
          <w:numId w:val="2"/>
        </w:numPr>
      </w:pPr>
      <w:r w:rsidRPr="00653A9B">
        <w:t>Minimum of 7 years of professional experience, with at least 5 years of experience in International Trade Compliance or other relevant fields</w:t>
      </w:r>
    </w:p>
    <w:p w14:paraId="2DD7B48D" w14:textId="77777777" w:rsidR="00653A9B" w:rsidRPr="00653A9B" w:rsidRDefault="00653A9B" w:rsidP="00653A9B">
      <w:r w:rsidRPr="00653A9B">
        <w:rPr>
          <w:b/>
          <w:bCs/>
        </w:rPr>
        <w:t>Desired qualifications</w:t>
      </w:r>
    </w:p>
    <w:p w14:paraId="4736436A" w14:textId="77777777" w:rsidR="00653A9B" w:rsidRPr="00653A9B" w:rsidRDefault="00653A9B" w:rsidP="00653A9B">
      <w:pPr>
        <w:numPr>
          <w:ilvl w:val="0"/>
          <w:numId w:val="3"/>
        </w:numPr>
      </w:pPr>
      <w:r w:rsidRPr="00653A9B">
        <w:t>In-house experience</w:t>
      </w:r>
    </w:p>
    <w:p w14:paraId="07C50A36" w14:textId="77777777" w:rsidR="00653A9B" w:rsidRPr="00653A9B" w:rsidRDefault="00653A9B" w:rsidP="00653A9B">
      <w:pPr>
        <w:numPr>
          <w:ilvl w:val="0"/>
          <w:numId w:val="3"/>
        </w:numPr>
      </w:pPr>
      <w:r w:rsidRPr="00653A9B">
        <w:t>Flexibility and willingness to adapt and grow in an expanding organization</w:t>
      </w:r>
    </w:p>
    <w:p w14:paraId="2D255EC8" w14:textId="77777777" w:rsidR="00653A9B" w:rsidRPr="00653A9B" w:rsidRDefault="00653A9B" w:rsidP="00653A9B">
      <w:pPr>
        <w:numPr>
          <w:ilvl w:val="0"/>
          <w:numId w:val="3"/>
        </w:numPr>
      </w:pPr>
      <w:r w:rsidRPr="00653A9B">
        <w:t>Commitment to compliance and integrity</w:t>
      </w:r>
    </w:p>
    <w:p w14:paraId="0DB1FC18" w14:textId="77777777" w:rsidR="00653A9B" w:rsidRPr="00653A9B" w:rsidRDefault="00653A9B" w:rsidP="00653A9B">
      <w:pPr>
        <w:numPr>
          <w:ilvl w:val="0"/>
          <w:numId w:val="3"/>
        </w:numPr>
      </w:pPr>
      <w:r w:rsidRPr="00653A9B">
        <w:t>Ability to collaborate among all levels of the ITC organization and business</w:t>
      </w:r>
    </w:p>
    <w:p w14:paraId="0020EB9B" w14:textId="77777777" w:rsidR="00653A9B" w:rsidRPr="00653A9B" w:rsidRDefault="00653A9B" w:rsidP="00653A9B">
      <w:pPr>
        <w:numPr>
          <w:ilvl w:val="0"/>
          <w:numId w:val="3"/>
        </w:numPr>
      </w:pPr>
      <w:r w:rsidRPr="00653A9B">
        <w:t>Self-starter who can develop effective networks with internal customers and external stakeholders</w:t>
      </w:r>
    </w:p>
    <w:p w14:paraId="09FB4658" w14:textId="77777777" w:rsidR="00653A9B" w:rsidRPr="00653A9B" w:rsidRDefault="00653A9B" w:rsidP="00653A9B">
      <w:pPr>
        <w:numPr>
          <w:ilvl w:val="0"/>
          <w:numId w:val="3"/>
        </w:numPr>
      </w:pPr>
      <w:r w:rsidRPr="00653A9B">
        <w:t>Strong time management, prioritization, analytical, and organizational skills, with ability to meet deadlines and achieve desired results</w:t>
      </w:r>
    </w:p>
    <w:p w14:paraId="07C657D2" w14:textId="77777777" w:rsidR="00653A9B" w:rsidRPr="00653A9B" w:rsidRDefault="00653A9B" w:rsidP="00653A9B">
      <w:pPr>
        <w:numPr>
          <w:ilvl w:val="0"/>
          <w:numId w:val="3"/>
        </w:numPr>
      </w:pPr>
      <w:r w:rsidRPr="00653A9B">
        <w:t>Excellent customer relationship, communication, and interpersonal skills</w:t>
      </w:r>
    </w:p>
    <w:p w14:paraId="5F23B778" w14:textId="77777777" w:rsidR="00653A9B" w:rsidRPr="00653A9B" w:rsidRDefault="00653A9B" w:rsidP="00653A9B">
      <w:pPr>
        <w:numPr>
          <w:ilvl w:val="0"/>
          <w:numId w:val="3"/>
        </w:numPr>
      </w:pPr>
      <w:r w:rsidRPr="00653A9B">
        <w:t>Adaptable and capable of managing multiple initiatives, both collaboratively and independently</w:t>
      </w:r>
    </w:p>
    <w:p w14:paraId="78425D45" w14:textId="77777777" w:rsidR="00653A9B" w:rsidRPr="00653A9B" w:rsidRDefault="00653A9B" w:rsidP="00653A9B">
      <w:pPr>
        <w:numPr>
          <w:ilvl w:val="0"/>
          <w:numId w:val="3"/>
        </w:numPr>
      </w:pPr>
      <w:r w:rsidRPr="00653A9B">
        <w:t xml:space="preserve">The base pay range for this position is $168,600 to $280,000 USD Annual. The specific pay offered may be influenced by a variety of factors, including the candidate’s experience, education, and skill set. This position is also eligible for an annual discretionary bonus based on a percentage of your base salary/ commission based on the plan.   This posting is expected to close on May 25, </w:t>
      </w:r>
      <w:proofErr w:type="gramStart"/>
      <w:r w:rsidRPr="00653A9B">
        <w:t>2025</w:t>
      </w:r>
      <w:proofErr w:type="gramEnd"/>
      <w:r w:rsidRPr="00653A9B">
        <w:t> Healthcare benefits include medical, dental, vision, and prescription drug coverage; access to a Health Coach, a 24/7 nurse-based resource; and access to the Employee Assistance Program, providing 24/7 confidential assessment, counseling and referral services. Retirement benefits include the GE Retirement Savings Plan, a tax-advantaged 401(k) savings opportunity with company matching contributions and company retirement contributions, as well as access to Fidelity resources and planning consultants. Other benefits include tuition assistance, adoption assistance, paid parental leave, disability insurance, life insurance, and paid time-off for vacation or illness. </w:t>
      </w:r>
    </w:p>
    <w:p w14:paraId="250121D8" w14:textId="77777777" w:rsidR="00653A9B" w:rsidRPr="00653A9B" w:rsidRDefault="00653A9B" w:rsidP="00653A9B">
      <w:r w:rsidRPr="00653A9B">
        <w:lastRenderedPageBreak/>
        <w:t xml:space="preserve">General Electric Company, </w:t>
      </w:r>
      <w:proofErr w:type="spellStart"/>
      <w:r w:rsidRPr="00653A9B">
        <w:t>Ropcor</w:t>
      </w:r>
      <w:proofErr w:type="spellEnd"/>
      <w:r w:rsidRPr="00653A9B">
        <w:t>, Inc., their successors, and in some cases their affiliates, each sponsor certain employee benefit plans or programs (</w:t>
      </w:r>
      <w:r w:rsidRPr="00653A9B">
        <w:rPr>
          <w:i/>
          <w:iCs/>
        </w:rPr>
        <w:t>i.e</w:t>
      </w:r>
      <w:r w:rsidRPr="00653A9B">
        <w:t>., is a “Sponsor”). Each Sponsor reserves the right to terminate, amend, suspend, replace, or modify its benefit plans and programs at any time and for any reason, in its sole discretion. No individual has a vested right to any benefit under a Sponsor’s welfare benefit plan or program. This document does not create a contract of employment with any individual.</w:t>
      </w:r>
    </w:p>
    <w:p w14:paraId="377C2606" w14:textId="77777777" w:rsidR="00653A9B" w:rsidRPr="00653A9B" w:rsidRDefault="00653A9B" w:rsidP="00653A9B">
      <w:r w:rsidRPr="00653A9B">
        <w:rPr>
          <w:i/>
          <w:iCs/>
        </w:rPr>
        <w:t>This role is restricted to U.S. persons (i.e., U.S. citizens, permanent residents, and other protected individuals under the Immigration and Naturalization Act, 8 U.S.C. 1324b(a)(3)) due to access to export-controlled technology. GE will require proof of status prior to employment.</w:t>
      </w:r>
    </w:p>
    <w:p w14:paraId="30CB83C1" w14:textId="77777777" w:rsidR="00653A9B" w:rsidRPr="00653A9B" w:rsidRDefault="00653A9B" w:rsidP="00653A9B">
      <w:r w:rsidRPr="00653A9B">
        <w:rPr>
          <w:b/>
          <w:bCs/>
        </w:rPr>
        <w:t>Additional Job Description</w:t>
      </w:r>
    </w:p>
    <w:p w14:paraId="0A8A5936" w14:textId="77777777" w:rsidR="00653A9B" w:rsidRPr="00653A9B" w:rsidRDefault="00653A9B" w:rsidP="00653A9B">
      <w:r w:rsidRPr="00653A9B">
        <w:rPr>
          <w:b/>
          <w:bCs/>
        </w:rPr>
        <w:t>Compensation Grade</w:t>
      </w:r>
    </w:p>
    <w:p w14:paraId="788D14C7" w14:textId="77777777" w:rsidR="00653A9B" w:rsidRPr="00653A9B" w:rsidRDefault="00653A9B" w:rsidP="00653A9B">
      <w:r w:rsidRPr="00653A9B">
        <w:t>SPB1</w:t>
      </w:r>
    </w:p>
    <w:p w14:paraId="5762FDEB" w14:textId="77777777" w:rsidR="00653A9B" w:rsidRPr="00653A9B" w:rsidRDefault="00653A9B" w:rsidP="00653A9B">
      <w:r w:rsidRPr="00653A9B">
        <w:rPr>
          <w:i/>
          <w:iCs/>
        </w:rPr>
        <w:t xml:space="preserve">This role requires access to U.S. export-controlled information. Therefore, for applicants who are not asylees, refugees, lawful permanent residents or U.S. Citizens (i.e., not a protected individual under the Immigration and Naturalization Act, 8 U.S.C. 1324b(a)(3), otherwise known as a U.S. Person), final offers will be contingent on the ability to obtain authorization for access to U.S. export-controlled information from the U.S. Government. </w:t>
      </w:r>
    </w:p>
    <w:p w14:paraId="0BB4024E" w14:textId="77777777" w:rsidR="00653A9B" w:rsidRPr="00653A9B" w:rsidRDefault="00653A9B" w:rsidP="00653A9B">
      <w:r w:rsidRPr="00653A9B">
        <w:rPr>
          <w:b/>
          <w:bCs/>
        </w:rPr>
        <w:t>Additional Information</w:t>
      </w:r>
    </w:p>
    <w:p w14:paraId="13C92D53" w14:textId="77777777" w:rsidR="00653A9B" w:rsidRPr="00653A9B" w:rsidRDefault="00653A9B" w:rsidP="00653A9B">
      <w:r w:rsidRPr="00653A9B">
        <w:t xml:space="preserve">GE Aerospace offers a great work environment, professional development, challenging careers, and competitive compensation. GE Aerospace is an </w:t>
      </w:r>
      <w:hyperlink r:id="rId5" w:tgtFrame="_blank" w:history="1">
        <w:r w:rsidRPr="00653A9B">
          <w:rPr>
            <w:rStyle w:val="Hyperlink"/>
          </w:rPr>
          <w:t>Equal Opportunities Employer.</w:t>
        </w:r>
      </w:hyperlink>
      <w:r w:rsidRPr="00653A9B">
        <w:t xml:space="preserve"> Employment decisions are made without regard to race, color, religion, national or ethnic origin, sex, sexual orientation, gender identity or expression, age, disability, protected veteran status or other characteristics protected by law.</w:t>
      </w:r>
    </w:p>
    <w:p w14:paraId="27DC8B77" w14:textId="77777777" w:rsidR="00653A9B" w:rsidRPr="00653A9B" w:rsidRDefault="00653A9B" w:rsidP="00653A9B">
      <w:r w:rsidRPr="00653A9B">
        <w:t>GE Aerospace will only employ those who are legally authorized to work in the United States for this opening.</w:t>
      </w:r>
    </w:p>
    <w:p w14:paraId="52DF248E" w14:textId="77777777" w:rsidR="00653A9B" w:rsidRPr="00653A9B" w:rsidRDefault="00653A9B" w:rsidP="00653A9B">
      <w:r w:rsidRPr="00653A9B">
        <w:rPr>
          <w:b/>
          <w:bCs/>
        </w:rPr>
        <w:t xml:space="preserve">Relocation Assistance Provided: </w:t>
      </w:r>
      <w:r w:rsidRPr="00653A9B">
        <w:t>Yes</w:t>
      </w:r>
    </w:p>
    <w:p w14:paraId="1DB3FD95" w14:textId="77777777" w:rsidR="0060572E" w:rsidRDefault="0060572E"/>
    <w:sectPr w:rsidR="00605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700D9"/>
    <w:multiLevelType w:val="multilevel"/>
    <w:tmpl w:val="89C8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6C53CF"/>
    <w:multiLevelType w:val="multilevel"/>
    <w:tmpl w:val="DF4C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381951"/>
    <w:multiLevelType w:val="multilevel"/>
    <w:tmpl w:val="CBC4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555200">
    <w:abstractNumId w:val="2"/>
  </w:num>
  <w:num w:numId="2" w16cid:durableId="1775973761">
    <w:abstractNumId w:val="0"/>
  </w:num>
  <w:num w:numId="3" w16cid:durableId="2138451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A9B"/>
    <w:rsid w:val="0034065E"/>
    <w:rsid w:val="0060572E"/>
    <w:rsid w:val="00653A9B"/>
    <w:rsid w:val="00C742FD"/>
    <w:rsid w:val="00CB4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4B703"/>
  <w15:chartTrackingRefBased/>
  <w15:docId w15:val="{26759B83-01F3-45A3-88F4-E230935DC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A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3A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3A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3A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3A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3A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A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A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A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A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3A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3A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3A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3A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3A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A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A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A9B"/>
    <w:rPr>
      <w:rFonts w:eastAsiaTheme="majorEastAsia" w:cstheme="majorBidi"/>
      <w:color w:val="272727" w:themeColor="text1" w:themeTint="D8"/>
    </w:rPr>
  </w:style>
  <w:style w:type="paragraph" w:styleId="Title">
    <w:name w:val="Title"/>
    <w:basedOn w:val="Normal"/>
    <w:next w:val="Normal"/>
    <w:link w:val="TitleChar"/>
    <w:uiPriority w:val="10"/>
    <w:qFormat/>
    <w:rsid w:val="00653A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A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A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A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A9B"/>
    <w:pPr>
      <w:spacing w:before="160"/>
      <w:jc w:val="center"/>
    </w:pPr>
    <w:rPr>
      <w:i/>
      <w:iCs/>
      <w:color w:val="404040" w:themeColor="text1" w:themeTint="BF"/>
    </w:rPr>
  </w:style>
  <w:style w:type="character" w:customStyle="1" w:styleId="QuoteChar">
    <w:name w:val="Quote Char"/>
    <w:basedOn w:val="DefaultParagraphFont"/>
    <w:link w:val="Quote"/>
    <w:uiPriority w:val="29"/>
    <w:rsid w:val="00653A9B"/>
    <w:rPr>
      <w:i/>
      <w:iCs/>
      <w:color w:val="404040" w:themeColor="text1" w:themeTint="BF"/>
    </w:rPr>
  </w:style>
  <w:style w:type="paragraph" w:styleId="ListParagraph">
    <w:name w:val="List Paragraph"/>
    <w:basedOn w:val="Normal"/>
    <w:uiPriority w:val="34"/>
    <w:qFormat/>
    <w:rsid w:val="00653A9B"/>
    <w:pPr>
      <w:ind w:left="720"/>
      <w:contextualSpacing/>
    </w:pPr>
  </w:style>
  <w:style w:type="character" w:styleId="IntenseEmphasis">
    <w:name w:val="Intense Emphasis"/>
    <w:basedOn w:val="DefaultParagraphFont"/>
    <w:uiPriority w:val="21"/>
    <w:qFormat/>
    <w:rsid w:val="00653A9B"/>
    <w:rPr>
      <w:i/>
      <w:iCs/>
      <w:color w:val="0F4761" w:themeColor="accent1" w:themeShade="BF"/>
    </w:rPr>
  </w:style>
  <w:style w:type="paragraph" w:styleId="IntenseQuote">
    <w:name w:val="Intense Quote"/>
    <w:basedOn w:val="Normal"/>
    <w:next w:val="Normal"/>
    <w:link w:val="IntenseQuoteChar"/>
    <w:uiPriority w:val="30"/>
    <w:qFormat/>
    <w:rsid w:val="00653A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3A9B"/>
    <w:rPr>
      <w:i/>
      <w:iCs/>
      <w:color w:val="0F4761" w:themeColor="accent1" w:themeShade="BF"/>
    </w:rPr>
  </w:style>
  <w:style w:type="character" w:styleId="IntenseReference">
    <w:name w:val="Intense Reference"/>
    <w:basedOn w:val="DefaultParagraphFont"/>
    <w:uiPriority w:val="32"/>
    <w:qFormat/>
    <w:rsid w:val="00653A9B"/>
    <w:rPr>
      <w:b/>
      <w:bCs/>
      <w:smallCaps/>
      <w:color w:val="0F4761" w:themeColor="accent1" w:themeShade="BF"/>
      <w:spacing w:val="5"/>
    </w:rPr>
  </w:style>
  <w:style w:type="character" w:styleId="Hyperlink">
    <w:name w:val="Hyperlink"/>
    <w:basedOn w:val="DefaultParagraphFont"/>
    <w:uiPriority w:val="99"/>
    <w:unhideWhenUsed/>
    <w:rsid w:val="00653A9B"/>
    <w:rPr>
      <w:color w:val="467886" w:themeColor="hyperlink"/>
      <w:u w:val="single"/>
    </w:rPr>
  </w:style>
  <w:style w:type="character" w:styleId="UnresolvedMention">
    <w:name w:val="Unresolved Mention"/>
    <w:basedOn w:val="DefaultParagraphFont"/>
    <w:uiPriority w:val="99"/>
    <w:semiHidden/>
    <w:unhideWhenUsed/>
    <w:rsid w:val="00653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329930">
      <w:bodyDiv w:val="1"/>
      <w:marLeft w:val="0"/>
      <w:marRight w:val="0"/>
      <w:marTop w:val="0"/>
      <w:marBottom w:val="0"/>
      <w:divBdr>
        <w:top w:val="none" w:sz="0" w:space="0" w:color="auto"/>
        <w:left w:val="none" w:sz="0" w:space="0" w:color="auto"/>
        <w:bottom w:val="none" w:sz="0" w:space="0" w:color="auto"/>
        <w:right w:val="none" w:sz="0" w:space="0" w:color="auto"/>
      </w:divBdr>
      <w:divsChild>
        <w:div w:id="1890528789">
          <w:marLeft w:val="0"/>
          <w:marRight w:val="0"/>
          <w:marTop w:val="0"/>
          <w:marBottom w:val="0"/>
          <w:divBdr>
            <w:top w:val="none" w:sz="0" w:space="0" w:color="auto"/>
            <w:left w:val="none" w:sz="0" w:space="0" w:color="auto"/>
            <w:bottom w:val="none" w:sz="0" w:space="0" w:color="auto"/>
            <w:right w:val="none" w:sz="0" w:space="0" w:color="auto"/>
          </w:divBdr>
          <w:divsChild>
            <w:div w:id="1665621045">
              <w:marLeft w:val="0"/>
              <w:marRight w:val="0"/>
              <w:marTop w:val="0"/>
              <w:marBottom w:val="0"/>
              <w:divBdr>
                <w:top w:val="none" w:sz="0" w:space="0" w:color="auto"/>
                <w:left w:val="none" w:sz="0" w:space="0" w:color="auto"/>
                <w:bottom w:val="none" w:sz="0" w:space="0" w:color="auto"/>
                <w:right w:val="none" w:sz="0" w:space="0" w:color="auto"/>
              </w:divBdr>
              <w:divsChild>
                <w:div w:id="92358593">
                  <w:marLeft w:val="0"/>
                  <w:marRight w:val="0"/>
                  <w:marTop w:val="0"/>
                  <w:marBottom w:val="0"/>
                  <w:divBdr>
                    <w:top w:val="none" w:sz="0" w:space="0" w:color="auto"/>
                    <w:left w:val="none" w:sz="0" w:space="0" w:color="auto"/>
                    <w:bottom w:val="none" w:sz="0" w:space="0" w:color="auto"/>
                    <w:right w:val="none" w:sz="0" w:space="0" w:color="auto"/>
                  </w:divBdr>
                  <w:divsChild>
                    <w:div w:id="19748687">
                      <w:marLeft w:val="0"/>
                      <w:marRight w:val="0"/>
                      <w:marTop w:val="0"/>
                      <w:marBottom w:val="0"/>
                      <w:divBdr>
                        <w:top w:val="none" w:sz="0" w:space="0" w:color="auto"/>
                        <w:left w:val="none" w:sz="0" w:space="0" w:color="auto"/>
                        <w:bottom w:val="none" w:sz="0" w:space="0" w:color="auto"/>
                        <w:right w:val="none" w:sz="0" w:space="0" w:color="auto"/>
                      </w:divBdr>
                      <w:divsChild>
                        <w:div w:id="582422977">
                          <w:marLeft w:val="0"/>
                          <w:marRight w:val="0"/>
                          <w:marTop w:val="0"/>
                          <w:marBottom w:val="120"/>
                          <w:divBdr>
                            <w:top w:val="none" w:sz="0" w:space="0" w:color="auto"/>
                            <w:left w:val="none" w:sz="0" w:space="0" w:color="auto"/>
                            <w:bottom w:val="none" w:sz="0" w:space="0" w:color="auto"/>
                            <w:right w:val="none" w:sz="0" w:space="0" w:color="auto"/>
                          </w:divBdr>
                        </w:div>
                        <w:div w:id="151872909">
                          <w:marLeft w:val="0"/>
                          <w:marRight w:val="0"/>
                          <w:marTop w:val="0"/>
                          <w:marBottom w:val="0"/>
                          <w:divBdr>
                            <w:top w:val="none" w:sz="0" w:space="0" w:color="auto"/>
                            <w:left w:val="none" w:sz="0" w:space="0" w:color="auto"/>
                            <w:bottom w:val="none" w:sz="0" w:space="0" w:color="auto"/>
                            <w:right w:val="none" w:sz="0" w:space="0" w:color="auto"/>
                          </w:divBdr>
                          <w:divsChild>
                            <w:div w:id="4191077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5316856">
          <w:marLeft w:val="0"/>
          <w:marRight w:val="0"/>
          <w:marTop w:val="0"/>
          <w:marBottom w:val="0"/>
          <w:divBdr>
            <w:top w:val="none" w:sz="0" w:space="0" w:color="auto"/>
            <w:left w:val="none" w:sz="0" w:space="0" w:color="auto"/>
            <w:bottom w:val="none" w:sz="0" w:space="0" w:color="auto"/>
            <w:right w:val="none" w:sz="0" w:space="0" w:color="auto"/>
          </w:divBdr>
          <w:divsChild>
            <w:div w:id="1694259393">
              <w:marLeft w:val="0"/>
              <w:marRight w:val="0"/>
              <w:marTop w:val="0"/>
              <w:marBottom w:val="960"/>
              <w:divBdr>
                <w:top w:val="none" w:sz="0" w:space="0" w:color="auto"/>
                <w:left w:val="none" w:sz="0" w:space="0" w:color="auto"/>
                <w:bottom w:val="none" w:sz="0" w:space="0" w:color="auto"/>
                <w:right w:val="none" w:sz="0" w:space="0" w:color="auto"/>
              </w:divBdr>
            </w:div>
          </w:divsChild>
        </w:div>
      </w:divsChild>
    </w:div>
    <w:div w:id="692196191">
      <w:bodyDiv w:val="1"/>
      <w:marLeft w:val="0"/>
      <w:marRight w:val="0"/>
      <w:marTop w:val="0"/>
      <w:marBottom w:val="0"/>
      <w:divBdr>
        <w:top w:val="none" w:sz="0" w:space="0" w:color="auto"/>
        <w:left w:val="none" w:sz="0" w:space="0" w:color="auto"/>
        <w:bottom w:val="none" w:sz="0" w:space="0" w:color="auto"/>
        <w:right w:val="none" w:sz="0" w:space="0" w:color="auto"/>
      </w:divBdr>
      <w:divsChild>
        <w:div w:id="1731886171">
          <w:marLeft w:val="0"/>
          <w:marRight w:val="0"/>
          <w:marTop w:val="0"/>
          <w:marBottom w:val="0"/>
          <w:divBdr>
            <w:top w:val="none" w:sz="0" w:space="0" w:color="auto"/>
            <w:left w:val="none" w:sz="0" w:space="0" w:color="auto"/>
            <w:bottom w:val="none" w:sz="0" w:space="0" w:color="auto"/>
            <w:right w:val="none" w:sz="0" w:space="0" w:color="auto"/>
          </w:divBdr>
          <w:divsChild>
            <w:div w:id="867793261">
              <w:marLeft w:val="0"/>
              <w:marRight w:val="0"/>
              <w:marTop w:val="0"/>
              <w:marBottom w:val="0"/>
              <w:divBdr>
                <w:top w:val="none" w:sz="0" w:space="0" w:color="auto"/>
                <w:left w:val="none" w:sz="0" w:space="0" w:color="auto"/>
                <w:bottom w:val="none" w:sz="0" w:space="0" w:color="auto"/>
                <w:right w:val="none" w:sz="0" w:space="0" w:color="auto"/>
              </w:divBdr>
              <w:divsChild>
                <w:div w:id="117188739">
                  <w:marLeft w:val="0"/>
                  <w:marRight w:val="0"/>
                  <w:marTop w:val="0"/>
                  <w:marBottom w:val="0"/>
                  <w:divBdr>
                    <w:top w:val="none" w:sz="0" w:space="0" w:color="auto"/>
                    <w:left w:val="none" w:sz="0" w:space="0" w:color="auto"/>
                    <w:bottom w:val="none" w:sz="0" w:space="0" w:color="auto"/>
                    <w:right w:val="none" w:sz="0" w:space="0" w:color="auto"/>
                  </w:divBdr>
                  <w:divsChild>
                    <w:div w:id="1420253861">
                      <w:marLeft w:val="0"/>
                      <w:marRight w:val="0"/>
                      <w:marTop w:val="0"/>
                      <w:marBottom w:val="0"/>
                      <w:divBdr>
                        <w:top w:val="none" w:sz="0" w:space="0" w:color="auto"/>
                        <w:left w:val="none" w:sz="0" w:space="0" w:color="auto"/>
                        <w:bottom w:val="none" w:sz="0" w:space="0" w:color="auto"/>
                        <w:right w:val="none" w:sz="0" w:space="0" w:color="auto"/>
                      </w:divBdr>
                      <w:divsChild>
                        <w:div w:id="1088506730">
                          <w:marLeft w:val="0"/>
                          <w:marRight w:val="0"/>
                          <w:marTop w:val="0"/>
                          <w:marBottom w:val="120"/>
                          <w:divBdr>
                            <w:top w:val="none" w:sz="0" w:space="0" w:color="auto"/>
                            <w:left w:val="none" w:sz="0" w:space="0" w:color="auto"/>
                            <w:bottom w:val="none" w:sz="0" w:space="0" w:color="auto"/>
                            <w:right w:val="none" w:sz="0" w:space="0" w:color="auto"/>
                          </w:divBdr>
                        </w:div>
                        <w:div w:id="1325015468">
                          <w:marLeft w:val="0"/>
                          <w:marRight w:val="0"/>
                          <w:marTop w:val="0"/>
                          <w:marBottom w:val="0"/>
                          <w:divBdr>
                            <w:top w:val="none" w:sz="0" w:space="0" w:color="auto"/>
                            <w:left w:val="none" w:sz="0" w:space="0" w:color="auto"/>
                            <w:bottom w:val="none" w:sz="0" w:space="0" w:color="auto"/>
                            <w:right w:val="none" w:sz="0" w:space="0" w:color="auto"/>
                          </w:divBdr>
                          <w:divsChild>
                            <w:div w:id="9875160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84834782">
          <w:marLeft w:val="0"/>
          <w:marRight w:val="0"/>
          <w:marTop w:val="0"/>
          <w:marBottom w:val="0"/>
          <w:divBdr>
            <w:top w:val="none" w:sz="0" w:space="0" w:color="auto"/>
            <w:left w:val="none" w:sz="0" w:space="0" w:color="auto"/>
            <w:bottom w:val="none" w:sz="0" w:space="0" w:color="auto"/>
            <w:right w:val="none" w:sz="0" w:space="0" w:color="auto"/>
          </w:divBdr>
          <w:divsChild>
            <w:div w:id="1192499093">
              <w:marLeft w:val="0"/>
              <w:marRight w:val="0"/>
              <w:marTop w:val="0"/>
              <w:marBottom w:val="9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eoc.gov/sites/default/files/2022-10/22-088_EEOC_KnowYourRights_10_20.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1025</Words>
  <Characters>5844</Characters>
  <Application>Microsoft Office Word</Application>
  <DocSecurity>0</DocSecurity>
  <Lines>48</Lines>
  <Paragraphs>13</Paragraphs>
  <ScaleCrop>false</ScaleCrop>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Nancy (GE Aerospace, US)</dc:creator>
  <cp:keywords/>
  <dc:description/>
  <cp:lastModifiedBy>Anton, Nancy (GE Aerospace, US)</cp:lastModifiedBy>
  <cp:revision>1</cp:revision>
  <dcterms:created xsi:type="dcterms:W3CDTF">2025-05-30T18:17:00Z</dcterms:created>
  <dcterms:modified xsi:type="dcterms:W3CDTF">2025-05-30T18:18:00Z</dcterms:modified>
</cp:coreProperties>
</file>