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4ABAFD5" wp14:paraId="2EA5C6C0" wp14:textId="1D8F114C">
      <w:pP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34ABAFD5" w:rsidR="68E67D2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32"/>
          <w:szCs w:val="32"/>
          <w:u w:val="single"/>
          <w:lang w:val="en-US"/>
        </w:rPr>
        <w:t>Job Description / Responsibilities / Requirements</w:t>
      </w:r>
    </w:p>
    <w:p xmlns:wp14="http://schemas.microsoft.com/office/word/2010/wordml" w:rsidP="34ABAFD5" wp14:paraId="6557EC35" wp14:textId="6DDAC05D">
      <w:pPr>
        <w:pStyle w:val="Normal"/>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About the Role: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We are looking for an experienced Export Control Specialist to join our team. In this role, you will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be responsible for</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supporting and strengthening our internal compliance program, enhancing our global capabilities in Export Control, applying industry best practices, and developing solutions to navigate and respond to the dynamic regulatory environment for global export controls and sanctions. In this role, you will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be responsible for</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monitoring and interpreting US export control and related regulations,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identifying</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potential impact to Gore businesses, and partnering with Gore businesses to navigate and succeed in Global and Defense Markets.</w:t>
      </w:r>
    </w:p>
    <w:p xmlns:wp14="http://schemas.microsoft.com/office/word/2010/wordml" w:rsidP="34ABAFD5" wp14:paraId="579424B2" wp14:textId="4CB30682">
      <w:pPr>
        <w:pStyle w:val="Normal"/>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Pay and Benefits:</w:t>
      </w:r>
    </w:p>
    <w:p xmlns:wp14="http://schemas.microsoft.com/office/word/2010/wordml" w:rsidP="34ABAFD5" wp14:paraId="31FF0DA8" wp14:textId="2ADA81D2">
      <w:pPr>
        <w:pStyle w:val="ListParagraph"/>
        <w:numPr>
          <w:ilvl w:val="0"/>
          <w:numId w:val="1"/>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$81,000 - $126,000 per year</w:t>
      </w:r>
    </w:p>
    <w:p xmlns:wp14="http://schemas.microsoft.com/office/word/2010/wordml" w:rsidP="34ABAFD5" wp14:paraId="39C7C543" wp14:textId="1FC8B5F1">
      <w:pPr>
        <w:pStyle w:val="ListParagraph"/>
        <w:numPr>
          <w:ilvl w:val="0"/>
          <w:numId w:val="1"/>
        </w:numPr>
        <w:spacing w:before="0" w:beforeAutospacing="off" w:after="0" w:afterAutospacing="off"/>
        <w:ind w:left="720" w:hanging="360"/>
        <w:rPr>
          <w:rFonts w:ascii="Verdana" w:hAnsi="Verdana" w:eastAsia="Verdana" w:cs="Verdana"/>
          <w:b w:val="0"/>
          <w:bCs w:val="0"/>
          <w:i w:val="0"/>
          <w:iCs w:val="0"/>
          <w:caps w:val="0"/>
          <w:smallCaps w:val="0"/>
          <w:noProof w:val="0"/>
          <w:color w:val="4472C4"/>
          <w:sz w:val="21"/>
          <w:szCs w:val="21"/>
          <w:lang w:val="en-US"/>
        </w:rPr>
      </w:pPr>
      <w:r w:rsidRPr="34ABAFD5" w:rsidR="68E67D26">
        <w:rPr>
          <w:rFonts w:ascii="Verdana" w:hAnsi="Verdana" w:eastAsia="Verdana" w:cs="Verdana"/>
          <w:b w:val="0"/>
          <w:bCs w:val="0"/>
          <w:i w:val="0"/>
          <w:iCs w:val="0"/>
          <w:caps w:val="0"/>
          <w:smallCaps w:val="0"/>
          <w:noProof w:val="0"/>
          <w:color w:val="4472C4"/>
          <w:sz w:val="21"/>
          <w:szCs w:val="21"/>
          <w:lang w:val="en-US"/>
        </w:rPr>
        <w:t>Roles above $150k are eligible for the variable pay program each fiscal year, based on defined business performance metrics.</w:t>
      </w:r>
    </w:p>
    <w:p xmlns:wp14="http://schemas.microsoft.com/office/word/2010/wordml" w:rsidP="34ABAFD5" wp14:paraId="353A5780" wp14:textId="41B168F1">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Factors considered in extending an offer within this pay range include (but not limited to) education, experience, knowledge, skills, and abilities</w:t>
      </w:r>
      <w:r w:rsidRPr="34ABAFD5" w:rsidR="68E67D26">
        <w:rPr>
          <w:rFonts w:ascii="Arial" w:hAnsi="Arial" w:eastAsia="Arial" w:cs="Arial"/>
          <w:b w:val="0"/>
          <w:bCs w:val="0"/>
          <w:i w:val="0"/>
          <w:iCs w:val="0"/>
          <w:caps w:val="0"/>
          <w:smallCaps w:val="0"/>
          <w:noProof w:val="0"/>
          <w:color w:val="000000" w:themeColor="text1" w:themeTint="FF" w:themeShade="FF"/>
          <w:sz w:val="21"/>
          <w:szCs w:val="21"/>
          <w:lang w:val="en-US"/>
        </w:rPr>
        <w:t>.</w:t>
      </w:r>
    </w:p>
    <w:p xmlns:wp14="http://schemas.microsoft.com/office/word/2010/wordml" w:rsidP="34ABAFD5" wp14:paraId="21D7611D" wp14:textId="460ED1C7">
      <w:pPr>
        <w:pStyle w:val="ListParagraph"/>
        <w:numPr>
          <w:ilvl w:val="0"/>
          <w:numId w:val="1"/>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Medical, Dental and Vision benefits effective on Day 1 of employment! We offer a comprehensive total rewards package, including competitive benefits.  More details are available at </w:t>
      </w:r>
      <w:hyperlink r:id="R068837a2c63a4328">
        <w:r w:rsidRPr="34ABAFD5" w:rsidR="68E67D26">
          <w:rPr>
            <w:rStyle w:val="Hyperlink"/>
            <w:rFonts w:ascii="Verdana" w:hAnsi="Verdana" w:eastAsia="Verdana" w:cs="Verdana"/>
            <w:b w:val="0"/>
            <w:bCs w:val="0"/>
            <w:i w:val="0"/>
            <w:iCs w:val="0"/>
            <w:caps w:val="0"/>
            <w:smallCaps w:val="0"/>
            <w:strike w:val="0"/>
            <w:dstrike w:val="0"/>
            <w:noProof w:val="0"/>
            <w:sz w:val="21"/>
            <w:szCs w:val="21"/>
            <w:lang w:val="en-US"/>
          </w:rPr>
          <w:t>www.gore.com/careers/benefits</w:t>
        </w:r>
      </w:hyperlink>
    </w:p>
    <w:p xmlns:wp14="http://schemas.microsoft.com/office/word/2010/wordml" w:rsidP="34ABAFD5" wp14:paraId="3F37D706" wp14:textId="34F2B4A6">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Responsibilities: </w:t>
      </w:r>
    </w:p>
    <w:p xmlns:wp14="http://schemas.microsoft.com/office/word/2010/wordml" w:rsidP="34ABAFD5" wp14:paraId="777EAC3F" wp14:textId="2A9F920C">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Partner with global businesses and functions to integrate export control in the organization</w:t>
      </w:r>
    </w:p>
    <w:p xmlns:wp14="http://schemas.microsoft.com/office/word/2010/wordml" w:rsidP="34ABAFD5" wp14:paraId="2AF291A1" wp14:textId="0B4291F7">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Assess risk for export controls and sanctions and conduct formal assessments</w:t>
      </w:r>
    </w:p>
    <w:p xmlns:wp14="http://schemas.microsoft.com/office/word/2010/wordml" w:rsidP="34ABAFD5" wp14:paraId="2F6C1CE3" wp14:textId="710F7D8A">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Analyze and interpret regulations; provide guidance and communicate requirements</w:t>
      </w:r>
    </w:p>
    <w:p xmlns:wp14="http://schemas.microsoft.com/office/word/2010/wordml" w:rsidP="34ABAFD5" wp14:paraId="3EAC7660" wp14:textId="7300B5E3">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Support businesses in creating processes and controls to mitigate risk</w:t>
      </w:r>
    </w:p>
    <w:p xmlns:wp14="http://schemas.microsoft.com/office/word/2010/wordml" w:rsidP="34ABAFD5" wp14:paraId="196D191B" wp14:textId="28ABB178">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Support the enterprise in establishing systems controls and monitoring compliance</w:t>
      </w:r>
    </w:p>
    <w:p xmlns:wp14="http://schemas.microsoft.com/office/word/2010/wordml" w:rsidP="34ABAFD5" wp14:paraId="64531721" wp14:textId="6E7B1D52">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Provide export control classification guidance and interface with regulators</w:t>
      </w:r>
    </w:p>
    <w:p xmlns:wp14="http://schemas.microsoft.com/office/word/2010/wordml" w:rsidP="34ABAFD5" wp14:paraId="15DF3FEA" wp14:textId="0578B79B">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Apply for export control authorizations and licenses</w:t>
      </w:r>
    </w:p>
    <w:p xmlns:wp14="http://schemas.microsoft.com/office/word/2010/wordml" w:rsidP="34ABAFD5" wp14:paraId="149A79E8" wp14:textId="7188D1A9">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Support businesses in responding to customer requests for export controls and sanctions related requirements and certifications</w:t>
      </w:r>
    </w:p>
    <w:p xmlns:wp14="http://schemas.microsoft.com/office/word/2010/wordml" w:rsidP="34ABAFD5" wp14:paraId="7539DB03" wp14:textId="55216388">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Support operations by resolving export holds and restricted party screening results</w:t>
      </w:r>
    </w:p>
    <w:p xmlns:wp14="http://schemas.microsoft.com/office/word/2010/wordml" w:rsidP="34ABAFD5" wp14:paraId="792E8D2C" wp14:textId="33B43319">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Conduct and support export control customer due diligence vetting</w:t>
      </w:r>
    </w:p>
    <w:p xmlns:wp14="http://schemas.microsoft.com/office/word/2010/wordml" w:rsidP="34ABAFD5" wp14:paraId="4D97CA43" wp14:textId="024F0672">
      <w:pPr>
        <w:pStyle w:val="ListParagraph"/>
        <w:numPr>
          <w:ilvl w:val="0"/>
          <w:numId w:val="2"/>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Collaborate with global trade experts in other regions to align and harmonize processes, controls, and training</w:t>
      </w:r>
    </w:p>
    <w:p xmlns:wp14="http://schemas.microsoft.com/office/word/2010/wordml" w:rsidP="34ABAFD5" wp14:paraId="79EA224C" wp14:textId="3080FFDF">
      <w:pPr>
        <w:spacing w:before="240" w:beforeAutospacing="off" w:after="240" w:afterAutospacing="off"/>
        <w:rPr>
          <w:rFonts w:ascii="Verdana" w:hAnsi="Verdana" w:eastAsia="Verdana" w:cs="Verdana"/>
          <w:b w:val="1"/>
          <w:bCs w:val="1"/>
          <w:i w:val="0"/>
          <w:iCs w:val="0"/>
          <w:caps w:val="0"/>
          <w:smallCaps w:val="0"/>
          <w:noProof w:val="0"/>
          <w:color w:val="000000" w:themeColor="text1" w:themeTint="FF" w:themeShade="FF"/>
          <w:sz w:val="21"/>
          <w:szCs w:val="21"/>
          <w:lang w:val="en-US"/>
        </w:rPr>
      </w:pPr>
    </w:p>
    <w:p xmlns:wp14="http://schemas.microsoft.com/office/word/2010/wordml" w:rsidP="34ABAFD5" wp14:paraId="53A4A859" wp14:textId="248E9C03">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Required Qualifications: </w:t>
      </w:r>
    </w:p>
    <w:p xmlns:wp14="http://schemas.microsoft.com/office/word/2010/wordml" w:rsidP="34ABAFD5" wp14:paraId="0788BBDF" wp14:textId="3228F3F7">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Bachelor’s degree in business, Supply Chain, Compliance or minimum 10 years of equivalent work experience</w:t>
      </w:r>
    </w:p>
    <w:p xmlns:wp14="http://schemas.microsoft.com/office/word/2010/wordml" w:rsidP="34ABAFD5" wp14:paraId="1445E81C" wp14:textId="25EA2997">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3 years of demonstrated experience in Export Control functions and knowledge of US Export Control Regulations (ITAR, EAR) and Sanctions (OFAC)</w:t>
      </w:r>
    </w:p>
    <w:p xmlns:wp14="http://schemas.microsoft.com/office/word/2010/wordml" w:rsidP="34ABAFD5" wp14:paraId="33E23107" wp14:textId="5F558D02">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Demonstrated ability to build relationships with stakeholders and internal customers</w:t>
      </w:r>
    </w:p>
    <w:p xmlns:wp14="http://schemas.microsoft.com/office/word/2010/wordml" w:rsidP="34ABAFD5" wp14:paraId="10096A7D" wp14:textId="5AD89004">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Demonstrated ability to influence and gain business support</w:t>
      </w:r>
    </w:p>
    <w:p xmlns:wp14="http://schemas.microsoft.com/office/word/2010/wordml" w:rsidP="34ABAFD5" wp14:paraId="4C984EAA" wp14:textId="206B2CEA">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Demonstrated ability to assess risk and implement risk-based solutions</w:t>
      </w:r>
    </w:p>
    <w:p xmlns:wp14="http://schemas.microsoft.com/office/word/2010/wordml" w:rsidP="34ABAFD5" wp14:paraId="4BCC8188" wp14:textId="1FFF7F58">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Demonstrated ability to create results with functional and cross regional teams</w:t>
      </w:r>
    </w:p>
    <w:p xmlns:wp14="http://schemas.microsoft.com/office/word/2010/wordml" w:rsidP="34ABAFD5" wp14:paraId="47EC369F" wp14:textId="76450A98">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Ability to analyze and interpret regulations, assess impact, and provide guidance</w:t>
      </w:r>
    </w:p>
    <w:p xmlns:wp14="http://schemas.microsoft.com/office/word/2010/wordml" w:rsidP="34ABAFD5" wp14:paraId="7CE41C1B" wp14:textId="785D90CC">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Ability to effectively organize, set priorities, and adapt to a changing environment</w:t>
      </w:r>
    </w:p>
    <w:p xmlns:wp14="http://schemas.microsoft.com/office/word/2010/wordml" w:rsidP="34ABAFD5" wp14:paraId="753B17D2" wp14:textId="7B23B452">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Ability to develop, implement, and maintain business processes </w:t>
      </w:r>
    </w:p>
    <w:p xmlns:wp14="http://schemas.microsoft.com/office/word/2010/wordml" w:rsidP="34ABAFD5" wp14:paraId="5037D42E" wp14:textId="569D756E">
      <w:pPr>
        <w:pStyle w:val="ListParagraph"/>
        <w:numPr>
          <w:ilvl w:val="0"/>
          <w:numId w:val="3"/>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Ability to travel up to 10% domestically and internationally</w:t>
      </w:r>
    </w:p>
    <w:p xmlns:wp14="http://schemas.microsoft.com/office/word/2010/wordml" w:rsidP="34ABAFD5" wp14:paraId="05C0E77E" wp14:textId="086664CB">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Desired Qualifications: </w:t>
      </w:r>
    </w:p>
    <w:p xmlns:wp14="http://schemas.microsoft.com/office/word/2010/wordml" w:rsidP="34ABAFD5" wp14:paraId="2D1E96C2" wp14:textId="2CC5DAAD">
      <w:pPr>
        <w:pStyle w:val="ListParagraph"/>
        <w:numPr>
          <w:ilvl w:val="0"/>
          <w:numId w:val="4"/>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Empowered Official role for prior company</w:t>
      </w:r>
    </w:p>
    <w:p xmlns:wp14="http://schemas.microsoft.com/office/word/2010/wordml" w:rsidP="34ABAFD5" wp14:paraId="5ED4B43D" wp14:textId="5A43E485">
      <w:pPr>
        <w:pStyle w:val="ListParagraph"/>
        <w:numPr>
          <w:ilvl w:val="0"/>
          <w:numId w:val="4"/>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Defense, Technical, Engineering, or Quality background </w:t>
      </w:r>
    </w:p>
    <w:p xmlns:wp14="http://schemas.microsoft.com/office/word/2010/wordml" w:rsidP="34ABAFD5" wp14:paraId="7B07CDF0" wp14:textId="353C7427">
      <w:pPr>
        <w:pStyle w:val="ListParagraph"/>
        <w:numPr>
          <w:ilvl w:val="0"/>
          <w:numId w:val="4"/>
        </w:numPr>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Experience with US Foreign-Direct-Product Rule and jurisdictional analysis (FDPR)</w:t>
      </w:r>
    </w:p>
    <w:p xmlns:wp14="http://schemas.microsoft.com/office/word/2010/wordml" w:rsidP="34ABAFD5" wp14:paraId="6F29EC1D" wp14:textId="300E667C">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6CE6D787" wp14:textId="1C5FD6BB">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This position requires access to export-controlled areas and information. Candidates must be "U.S. persons" as that term is defined in 8 USC §1324b(a)(3). The term "U.S. persons" includes resident aliens ("green-card" holders) as well as certain refugees, asylum-holders and residents qualifying for temporary residence under the terms of 8 USC §1255a.</w:t>
      </w:r>
    </w:p>
    <w:p xmlns:wp14="http://schemas.microsoft.com/office/word/2010/wordml" w:rsidP="34ABAFD5" wp14:paraId="669E0698" wp14:textId="1AC1A2F9">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01A58162" wp14:textId="0253C436">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Hybrid Working Arrangements are permitted for Associates in the continental United States (US) and Canada, with appropriate approval and compliance with Gore’s hybrid working policies, from the country in which they are employed.</w:t>
      </w:r>
    </w:p>
    <w:p xmlns:wp14="http://schemas.microsoft.com/office/word/2010/wordml" w:rsidP="34ABAFD5" wp14:paraId="2EB5E6FE" wp14:textId="0D00836E">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195490B2" wp14:textId="7A1EB3A8">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1"/>
          <w:bCs w:val="1"/>
          <w:i w:val="0"/>
          <w:iCs w:val="0"/>
          <w:caps w:val="0"/>
          <w:smallCaps w:val="0"/>
          <w:noProof w:val="0"/>
          <w:color w:val="000000" w:themeColor="text1" w:themeTint="FF" w:themeShade="FF"/>
          <w:sz w:val="21"/>
          <w:szCs w:val="21"/>
          <w:lang w:val="en-US"/>
        </w:rPr>
        <w:t>What We Offer:</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Our success is based on the capability and creativity of our Associates, and we are proud to offer a comprehensive and competitive total rewards program that supports your everyday and helps you build your tomorrow.</w:t>
      </w:r>
    </w:p>
    <w:p xmlns:wp14="http://schemas.microsoft.com/office/word/2010/wordml" w:rsidP="34ABAFD5" wp14:paraId="3A031AB6" wp14:textId="51AA5661">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0C709E24" wp14:textId="2668A08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We provide benefits that offer choice and flexibility and promote overall well-being. And in keeping with our belief that every Associate should share in the collective success of the enterprise; we provide a distinctive Associate Stock Ownership Plan in each country as well as potential opportunities for “profit-sharing”. Learn more at </w:t>
      </w:r>
      <w:hyperlink r:id="R23b2557e2cfb4a56">
        <w:r w:rsidRPr="34ABAFD5" w:rsidR="68E67D26">
          <w:rPr>
            <w:rStyle w:val="Hyperlink"/>
            <w:rFonts w:ascii="Verdana" w:hAnsi="Verdana" w:eastAsia="Verdana" w:cs="Verdana"/>
            <w:b w:val="0"/>
            <w:bCs w:val="0"/>
            <w:i w:val="0"/>
            <w:iCs w:val="0"/>
            <w:caps w:val="0"/>
            <w:smallCaps w:val="0"/>
            <w:strike w:val="0"/>
            <w:dstrike w:val="0"/>
            <w:noProof w:val="0"/>
            <w:sz w:val="21"/>
            <w:szCs w:val="21"/>
            <w:lang w:val="en-US"/>
          </w:rPr>
          <w:t>gore.com/careers/benefits</w:t>
        </w:r>
      </w:hyperlink>
    </w:p>
    <w:p xmlns:wp14="http://schemas.microsoft.com/office/word/2010/wordml" w:rsidP="34ABAFD5" wp14:paraId="2D5C834F" wp14:textId="60ECB049">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17B362F5" wp14:textId="70A124BF">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We believe in the strength of a diverse and inclusive workplace. With diverse perspectives, ideas and experiences, we uncover new possibilities and make a greater impact in the world. We are proud of Associates for building on our rich history of innovation, upholding our values and supporting an inclusive work environment where we treat each other and our external partners with fairness, dignity and respect.</w:t>
      </w:r>
    </w:p>
    <w:p xmlns:wp14="http://schemas.microsoft.com/office/word/2010/wordml" w:rsidP="34ABAFD5" wp14:paraId="2014C210" wp14:textId="6FF191BA">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1567767D" wp14:textId="7C7314F5">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Gore is an equal opportunity employer. We welcome all applications irrespective of race, color, religion, sex, gender, national origin, ancestry, age, status as a qualified individual with a disability, genetic information, pregnancy status, medical condition, marital status, sexual orientation, status as a covered veteran, gender identity and expression, and any other characteristic protected by applicable laws and regulations. </w:t>
      </w:r>
    </w:p>
    <w:p xmlns:wp14="http://schemas.microsoft.com/office/word/2010/wordml" w:rsidP="34ABAFD5" wp14:paraId="0C8F8D5B" wp14:textId="059391EB">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4ABAFD5" wp14:paraId="7752D47D" wp14:textId="163793C2">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1"/>
          <w:szCs w:val="21"/>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Gore is committed to a drug-free workplace. All employment is contingent upon successful completion of drug and background screening. Gore will consider qualified applicants with criminal histories, e.g., arrest and conviction records, in a manner consistent with the requirements of applicable laws.</w:t>
      </w:r>
    </w:p>
    <w:p xmlns:wp14="http://schemas.microsoft.com/office/word/2010/wordml" w:rsidP="34ABAFD5" wp14:paraId="3A3E01D3" wp14:textId="14945BA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Gore requires all applicants to be eligible to work within the U.S. Gore </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generally will</w:t>
      </w:r>
      <w:r w:rsidRPr="34ABAFD5" w:rsidR="68E67D26">
        <w:rPr>
          <w:rFonts w:ascii="Verdana" w:hAnsi="Verdana" w:eastAsia="Verdana" w:cs="Verdana"/>
          <w:b w:val="0"/>
          <w:bCs w:val="0"/>
          <w:i w:val="0"/>
          <w:iCs w:val="0"/>
          <w:caps w:val="0"/>
          <w:smallCaps w:val="0"/>
          <w:noProof w:val="0"/>
          <w:color w:val="000000" w:themeColor="text1" w:themeTint="FF" w:themeShade="FF"/>
          <w:sz w:val="21"/>
          <w:szCs w:val="21"/>
          <w:lang w:val="en-US"/>
        </w:rPr>
        <w:t xml:space="preserve"> not sponsor visas unless otherwise noted on the position description. </w:t>
      </w:r>
    </w:p>
    <w:p xmlns:wp14="http://schemas.microsoft.com/office/word/2010/wordml" w:rsidP="34ABAFD5" wp14:paraId="715BC5A2" wp14:textId="79F0C9F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34ABAFD5" w:rsidR="68E67D2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32"/>
          <w:szCs w:val="32"/>
          <w:u w:val="single"/>
          <w:lang w:val="en-US"/>
        </w:rPr>
        <w:t>Contact Information to Apply</w:t>
      </w:r>
    </w:p>
    <w:p xmlns:wp14="http://schemas.microsoft.com/office/word/2010/wordml" w:rsidP="34ABAFD5" wp14:paraId="0EE4781E" wp14:textId="47FD97D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US Talent Acquisition Specialist</w:t>
      </w:r>
      <w:r>
        <w:br/>
      </w:r>
      <w:hyperlink r:id="R2d00cf5f9b1e46bc">
        <w:r w:rsidRPr="34ABAFD5" w:rsidR="68E67D26">
          <w:rPr>
            <w:rStyle w:val="Hyperlink"/>
            <w:rFonts w:ascii="Verdana" w:hAnsi="Verdana" w:eastAsia="Verdana" w:cs="Verdana"/>
            <w:b w:val="0"/>
            <w:bCs w:val="0"/>
            <w:i w:val="0"/>
            <w:iCs w:val="0"/>
            <w:caps w:val="0"/>
            <w:smallCaps w:val="0"/>
            <w:strike w:val="0"/>
            <w:dstrike w:val="0"/>
            <w:noProof w:val="0"/>
            <w:sz w:val="20"/>
            <w:szCs w:val="20"/>
            <w:lang w:val="en-US"/>
          </w:rPr>
          <w:t>gthenry@wlgore.com</w:t>
        </w:r>
      </w:hyperlink>
    </w:p>
    <w:p xmlns:wp14="http://schemas.microsoft.com/office/word/2010/wordml" w:rsidP="34ABAFD5" wp14:paraId="485A83D3" wp14:textId="760918D5">
      <w:pPr>
        <w:shd w:val="clear" w:color="auto" w:fill="FFFFFF" w:themeFill="background1"/>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Gore Performance Solutions</w:t>
      </w:r>
    </w:p>
    <w:p xmlns:wp14="http://schemas.microsoft.com/office/word/2010/wordml" w:rsidP="34ABAFD5" wp14:paraId="095055F9" wp14:textId="297C33FE">
      <w:pPr>
        <w:shd w:val="clear" w:color="auto" w:fill="FFFFFF" w:themeFill="background1"/>
        <w:spacing w:before="0" w:beforeAutospacing="off" w:after="0" w:afterAutospacing="off"/>
        <w:rPr>
          <w:rFonts w:ascii="Verdana" w:hAnsi="Verdana" w:eastAsia="Verdana" w:cs="Verdana"/>
          <w:b w:val="0"/>
          <w:bCs w:val="0"/>
          <w:i w:val="0"/>
          <w:iCs w:val="0"/>
          <w:caps w:val="0"/>
          <w:smallCaps w:val="0"/>
          <w:noProof w:val="0"/>
          <w:color w:val="000000" w:themeColor="text1" w:themeTint="FF" w:themeShade="FF"/>
          <w:sz w:val="20"/>
          <w:szCs w:val="20"/>
          <w:lang w:val="en-US"/>
        </w:rPr>
      </w:pP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T +1 410-506-2093</w:t>
      </w:r>
      <w:r>
        <w:br/>
      </w: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Cell: 302.222.5660</w:t>
      </w:r>
    </w:p>
    <w:p xmlns:wp14="http://schemas.microsoft.com/office/word/2010/wordml" w:rsidP="34ABAFD5" wp14:paraId="0409BF23" wp14:textId="4BD9053D">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ABAFD5" wp14:paraId="0B5F1433" wp14:textId="7C735C41">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ABAFD5" w:rsidR="68E67D26">
        <w:rPr>
          <w:rFonts w:ascii="Verdana" w:hAnsi="Verdana" w:eastAsia="Verdana" w:cs="Verdana"/>
          <w:b w:val="1"/>
          <w:bCs w:val="1"/>
          <w:i w:val="0"/>
          <w:iCs w:val="0"/>
          <w:caps w:val="0"/>
          <w:smallCaps w:val="0"/>
          <w:noProof w:val="0"/>
          <w:color w:val="DA291C"/>
          <w:sz w:val="20"/>
          <w:szCs w:val="20"/>
          <w:lang w:val="en-US"/>
        </w:rPr>
        <w:t>W. L. Gore &amp; Associates, Inc.</w:t>
      </w:r>
      <w:r>
        <w:br/>
      </w:r>
      <w:r w:rsidRPr="34ABAFD5" w:rsidR="68E67D26">
        <w:rPr>
          <w:rFonts w:ascii="Verdana" w:hAnsi="Verdana" w:eastAsia="Verdana" w:cs="Verdana"/>
          <w:b w:val="1"/>
          <w:bCs w:val="1"/>
          <w:i w:val="1"/>
          <w:iCs w:val="1"/>
          <w:caps w:val="0"/>
          <w:smallCaps w:val="0"/>
          <w:noProof w:val="0"/>
          <w:color w:val="000000" w:themeColor="text1" w:themeTint="FF" w:themeShade="FF"/>
          <w:sz w:val="20"/>
          <w:szCs w:val="20"/>
          <w:lang w:val="en-US"/>
        </w:rPr>
        <w:t>Together, improving life</w:t>
      </w:r>
      <w:r>
        <w:br/>
      </w: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100 Airport Rd</w:t>
      </w:r>
      <w:r>
        <w:br/>
      </w: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Elkton, MD 21921</w:t>
      </w:r>
      <w:r>
        <w:br/>
      </w:r>
      <w:r w:rsidRPr="34ABAFD5" w:rsidR="68E67D26">
        <w:rPr>
          <w:rFonts w:ascii="Verdana" w:hAnsi="Verdana" w:eastAsia="Verdana" w:cs="Verdana"/>
          <w:b w:val="0"/>
          <w:bCs w:val="0"/>
          <w:i w:val="0"/>
          <w:iCs w:val="0"/>
          <w:caps w:val="0"/>
          <w:smallCaps w:val="0"/>
          <w:noProof w:val="0"/>
          <w:color w:val="000000" w:themeColor="text1" w:themeTint="FF" w:themeShade="FF"/>
          <w:sz w:val="20"/>
          <w:szCs w:val="20"/>
          <w:lang w:val="en-US"/>
        </w:rPr>
        <w:t>United States</w:t>
      </w:r>
      <w:r>
        <w:br/>
      </w:r>
      <w:hyperlink r:id="R77826d5581a047f0">
        <w:r w:rsidRPr="34ABAFD5" w:rsidR="68E67D26">
          <w:rPr>
            <w:rStyle w:val="Hyperlink"/>
            <w:rFonts w:ascii="Verdana" w:hAnsi="Verdana" w:eastAsia="Verdana" w:cs="Verdana"/>
            <w:b w:val="1"/>
            <w:bCs w:val="1"/>
            <w:i w:val="0"/>
            <w:iCs w:val="0"/>
            <w:caps w:val="0"/>
            <w:smallCaps w:val="0"/>
            <w:strike w:val="0"/>
            <w:dstrike w:val="0"/>
            <w:noProof w:val="0"/>
            <w:sz w:val="20"/>
            <w:szCs w:val="20"/>
            <w:lang w:val="en-US"/>
          </w:rPr>
          <w:t>gore.com</w:t>
        </w:r>
      </w:hyperlink>
    </w:p>
    <w:p xmlns:wp14="http://schemas.microsoft.com/office/word/2010/wordml" w:rsidP="34ABAFD5" wp14:paraId="7E25A212" wp14:textId="563D8D98">
      <w:pP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p>
    <w:p xmlns:wp14="http://schemas.microsoft.com/office/word/2010/wordml" wp14:paraId="2C078E63" wp14:textId="7DAEEF0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69d9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198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664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7c5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8FE75"/>
    <w:rsid w:val="34ABAFD5"/>
    <w:rsid w:val="468CEA33"/>
    <w:rsid w:val="46C8FE75"/>
    <w:rsid w:val="68E6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FE75"/>
  <w15:chartTrackingRefBased/>
  <w15:docId w15:val="{7C24A9AB-4066-44D9-AC24-13B006224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gore.com/careers/benefits" TargetMode="External" Id="R068837a2c63a4328" /><Relationship Type="http://schemas.openxmlformats.org/officeDocument/2006/relationships/hyperlink" Target="https://www.gore.com/careers/benefits" TargetMode="External" Id="R23b2557e2cfb4a56" /><Relationship Type="http://schemas.openxmlformats.org/officeDocument/2006/relationships/hyperlink" Target="mailto:gthenry@wlgore.com" TargetMode="External" Id="R2d00cf5f9b1e46bc" /><Relationship Type="http://schemas.openxmlformats.org/officeDocument/2006/relationships/hyperlink" Target="http://www.gore.com/" TargetMode="External" Id="R77826d5581a047f0" /><Relationship Type="http://schemas.openxmlformats.org/officeDocument/2006/relationships/numbering" Target="numbering.xml" Id="R3776e101c7224ea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2024-10-09T18:17:41.5442934Z</dcterms:created>
  <dcterms:modified xsi:type="dcterms:W3CDTF">2024-10-09T18:19:05.6945392Z</dcterms:modified>
  <dc:creator>Gwen T Henry</dc:creator>
  <lastModifiedBy>Gwen T Henry</lastModifiedBy>
</coreProperties>
</file>