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D858" w14:textId="77777777" w:rsidR="005776E7" w:rsidRDefault="00C352DB">
      <w:pPr>
        <w:spacing w:after="0"/>
        <w:jc w:val="center"/>
        <w:rPr>
          <w:rFonts w:asciiTheme="majorHAnsi" w:hAnsiTheme="majorHAnsi" w:cs="Times New Roman"/>
          <w:b/>
          <w:smallCaps/>
          <w:sz w:val="40"/>
          <w:szCs w:val="26"/>
        </w:rPr>
      </w:pPr>
      <w:r>
        <w:rPr>
          <w:rFonts w:asciiTheme="majorHAnsi" w:hAnsiTheme="majorHAnsi" w:cs="Times New Roman"/>
          <w:b/>
          <w:smallCaps/>
          <w:sz w:val="40"/>
          <w:szCs w:val="26"/>
        </w:rPr>
        <w:t xml:space="preserve">Marc N. Torbit </w:t>
      </w:r>
    </w:p>
    <w:p w14:paraId="0FA59897" w14:textId="610C0062" w:rsidR="005776E7" w:rsidRDefault="00B11F84">
      <w:pPr>
        <w:pBdr>
          <w:top w:val="single" w:sz="18" w:space="1" w:color="A6A6A6" w:themeColor="background1" w:themeShade="A6"/>
          <w:bottom w:val="single" w:sz="18" w:space="1" w:color="A6A6A6" w:themeColor="background1" w:themeShade="A6"/>
        </w:pBdr>
        <w:spacing w:after="0"/>
        <w:jc w:val="center"/>
        <w:rPr>
          <w:rFonts w:asciiTheme="majorHAnsi" w:hAnsiTheme="majorHAnsi" w:cs="Times New Roman"/>
        </w:rPr>
      </w:pPr>
      <w:r>
        <w:rPr>
          <w:rFonts w:asciiTheme="majorHAnsi" w:hAnsiTheme="majorHAnsi" w:cs="Times New Roman"/>
        </w:rPr>
        <w:t>505 Lanahan Dr Unit A Troy IL 62294</w:t>
      </w:r>
      <w:r w:rsidR="00A10FE9">
        <w:rPr>
          <w:rFonts w:ascii="Calibri" w:hAnsi="Calibri" w:cs="Times New Roman"/>
        </w:rPr>
        <w:t>▪</w:t>
      </w:r>
      <w:r w:rsidR="00A10FE9">
        <w:rPr>
          <w:rFonts w:asciiTheme="majorHAnsi" w:hAnsiTheme="majorHAnsi" w:cs="Times New Roman"/>
        </w:rPr>
        <w:t xml:space="preserve"> (</w:t>
      </w:r>
      <w:r w:rsidR="00C352DB">
        <w:rPr>
          <w:rFonts w:asciiTheme="majorHAnsi" w:hAnsiTheme="majorHAnsi" w:cs="Times New Roman"/>
        </w:rPr>
        <w:t xml:space="preserve">314) 269-3580  </w:t>
      </w:r>
      <w:r w:rsidR="00C352DB">
        <w:rPr>
          <w:rFonts w:ascii="Calibri" w:hAnsi="Calibri" w:cs="Times New Roman"/>
        </w:rPr>
        <w:t>▪</w:t>
      </w:r>
      <w:r w:rsidR="00C352DB">
        <w:rPr>
          <w:rFonts w:asciiTheme="majorHAnsi" w:hAnsiTheme="majorHAnsi" w:cs="Times New Roman"/>
        </w:rPr>
        <w:t xml:space="preserve">  marctorbit@live.com</w:t>
      </w:r>
    </w:p>
    <w:p w14:paraId="5EDB8C8E" w14:textId="77777777" w:rsidR="005776E7" w:rsidRDefault="005776E7">
      <w:pPr>
        <w:spacing w:after="0"/>
        <w:rPr>
          <w:rFonts w:asciiTheme="majorHAnsi" w:hAnsiTheme="majorHAnsi" w:cs="Times New Roman"/>
          <w:b/>
          <w:sz w:val="24"/>
          <w:szCs w:val="24"/>
        </w:rPr>
      </w:pPr>
    </w:p>
    <w:p w14:paraId="27AC0A2A" w14:textId="77777777" w:rsidR="005776E7" w:rsidRDefault="00C352DB">
      <w:pPr>
        <w:pBdr>
          <w:top w:val="single" w:sz="18" w:space="1" w:color="A6A6A6" w:themeColor="background1" w:themeShade="A6"/>
          <w:bottom w:val="single" w:sz="18" w:space="1" w:color="A6A6A6" w:themeColor="background1" w:themeShade="A6"/>
        </w:pBdr>
        <w:spacing w:after="0"/>
        <w:jc w:val="center"/>
        <w:rPr>
          <w:rFonts w:asciiTheme="majorHAnsi" w:hAnsiTheme="majorHAnsi" w:cs="Times New Roman"/>
          <w:b/>
          <w:smallCaps/>
          <w:sz w:val="26"/>
          <w:szCs w:val="26"/>
        </w:rPr>
      </w:pPr>
      <w:r>
        <w:rPr>
          <w:rFonts w:asciiTheme="majorHAnsi" w:hAnsiTheme="majorHAnsi" w:cs="Times New Roman"/>
          <w:b/>
          <w:smallCaps/>
          <w:sz w:val="26"/>
          <w:szCs w:val="26"/>
        </w:rPr>
        <w:t>Education</w:t>
      </w:r>
    </w:p>
    <w:p w14:paraId="0E0EBA4A" w14:textId="77777777" w:rsidR="005776E7" w:rsidRDefault="00C352DB">
      <w:pPr>
        <w:spacing w:after="0"/>
        <w:rPr>
          <w:rFonts w:asciiTheme="majorHAnsi" w:hAnsiTheme="majorHAnsi" w:cs="Times New Roman"/>
        </w:rPr>
      </w:pPr>
      <w:r w:rsidRPr="00C352DB">
        <w:rPr>
          <w:rFonts w:asciiTheme="majorHAnsi" w:hAnsiTheme="majorHAnsi" w:cs="Times New Roman"/>
          <w:b/>
        </w:rPr>
        <w:t>Southeast Missouri State University</w:t>
      </w:r>
      <w:r>
        <w:rPr>
          <w:rFonts w:asciiTheme="majorHAnsi" w:hAnsiTheme="majorHAnsi" w:cs="Times New Roman"/>
        </w:rPr>
        <w:t xml:space="preserve">                     </w:t>
      </w:r>
      <w:r w:rsidRPr="00465815">
        <w:rPr>
          <w:rFonts w:asciiTheme="majorHAnsi" w:hAnsiTheme="majorHAnsi" w:cs="Times New Roman"/>
          <w:b/>
        </w:rPr>
        <w:t>Cape Girardeau, MO</w:t>
      </w:r>
      <w:r>
        <w:rPr>
          <w:rFonts w:asciiTheme="majorHAnsi" w:hAnsiTheme="majorHAnsi" w:cs="Times New Roman"/>
        </w:rPr>
        <w:t xml:space="preserve">                                    </w:t>
      </w:r>
      <w:r>
        <w:rPr>
          <w:rFonts w:asciiTheme="majorHAnsi" w:hAnsiTheme="majorHAnsi" w:cs="Times New Roman"/>
          <w:b/>
        </w:rPr>
        <w:t>May 2016</w:t>
      </w:r>
      <w:r>
        <w:rPr>
          <w:rFonts w:asciiTheme="majorHAnsi" w:hAnsiTheme="majorHAnsi" w:cs="Times New Roman"/>
          <w:b/>
        </w:rPr>
        <w:tab/>
      </w:r>
    </w:p>
    <w:p w14:paraId="660D51DE" w14:textId="77777777" w:rsidR="005776E7" w:rsidRDefault="00C352DB">
      <w:pPr>
        <w:spacing w:after="0"/>
        <w:rPr>
          <w:rFonts w:asciiTheme="majorHAnsi" w:hAnsiTheme="majorHAnsi" w:cs="Times New Roman"/>
          <w:b/>
          <w:sz w:val="21"/>
          <w:szCs w:val="21"/>
        </w:rPr>
      </w:pPr>
      <w:r>
        <w:rPr>
          <w:rFonts w:asciiTheme="majorHAnsi" w:hAnsiTheme="majorHAnsi" w:cs="Times New Roman"/>
          <w:b/>
          <w:sz w:val="21"/>
          <w:szCs w:val="21"/>
        </w:rPr>
        <w:t>Bachelor of Science in Business Administration     Major: Marketing: Integrated Marketing Communications                                                                   Major GPA: 3.5</w:t>
      </w:r>
    </w:p>
    <w:p w14:paraId="280A9933" w14:textId="77777777" w:rsidR="005776E7" w:rsidRDefault="005776E7">
      <w:pPr>
        <w:spacing w:after="0"/>
        <w:rPr>
          <w:rFonts w:asciiTheme="majorHAnsi" w:hAnsiTheme="majorHAnsi" w:cs="Times New Roman"/>
        </w:rPr>
        <w:sectPr w:rsidR="005776E7">
          <w:pgSz w:w="12240" w:h="15840"/>
          <w:pgMar w:top="720" w:right="1440" w:bottom="1440" w:left="1440" w:header="720" w:footer="720" w:gutter="0"/>
          <w:cols w:space="720"/>
          <w:docGrid w:linePitch="360"/>
        </w:sectPr>
      </w:pPr>
    </w:p>
    <w:p w14:paraId="39A4146B" w14:textId="77777777" w:rsidR="005776E7" w:rsidRDefault="005776E7">
      <w:pPr>
        <w:spacing w:after="0"/>
        <w:rPr>
          <w:rFonts w:asciiTheme="majorHAnsi" w:hAnsiTheme="majorHAnsi" w:cs="Times New Roman"/>
          <w:sz w:val="24"/>
          <w:szCs w:val="24"/>
        </w:rPr>
        <w:sectPr w:rsidR="005776E7">
          <w:type w:val="continuous"/>
          <w:pgSz w:w="12240" w:h="15840"/>
          <w:pgMar w:top="1440" w:right="1440" w:bottom="1440" w:left="1440" w:header="720" w:footer="720" w:gutter="0"/>
          <w:cols w:num="2" w:space="720"/>
          <w:docGrid w:linePitch="360"/>
        </w:sectPr>
      </w:pPr>
    </w:p>
    <w:p w14:paraId="66B00D02" w14:textId="441D2F4D" w:rsidR="005776E7" w:rsidRDefault="00C352DB">
      <w:pPr>
        <w:pBdr>
          <w:top w:val="single" w:sz="18" w:space="1" w:color="A6A6A6" w:themeColor="background1" w:themeShade="A6"/>
          <w:bottom w:val="single" w:sz="18" w:space="1" w:color="A6A6A6" w:themeColor="background1" w:themeShade="A6"/>
        </w:pBdr>
        <w:spacing w:after="0"/>
        <w:jc w:val="center"/>
        <w:rPr>
          <w:rFonts w:asciiTheme="majorHAnsi" w:hAnsiTheme="majorHAnsi" w:cs="Times New Roman"/>
          <w:b/>
          <w:smallCaps/>
          <w:sz w:val="26"/>
          <w:szCs w:val="26"/>
        </w:rPr>
      </w:pPr>
      <w:r>
        <w:rPr>
          <w:rFonts w:asciiTheme="majorHAnsi" w:hAnsiTheme="majorHAnsi" w:cs="Times New Roman"/>
          <w:b/>
          <w:smallCaps/>
          <w:sz w:val="26"/>
          <w:szCs w:val="26"/>
        </w:rPr>
        <w:t>Relevant Work Experience</w:t>
      </w:r>
    </w:p>
    <w:p w14:paraId="0C7A5980" w14:textId="4C878841" w:rsidR="00A21500" w:rsidRDefault="00A21500">
      <w:pPr>
        <w:spacing w:after="0"/>
        <w:rPr>
          <w:rFonts w:asciiTheme="majorHAnsi" w:hAnsiTheme="majorHAnsi" w:cs="Times New Roman"/>
          <w:b/>
        </w:rPr>
      </w:pPr>
      <w:r>
        <w:rPr>
          <w:rFonts w:asciiTheme="majorHAnsi" w:hAnsiTheme="majorHAnsi" w:cs="Times New Roman"/>
          <w:b/>
        </w:rPr>
        <w:t xml:space="preserve">Arch Technology Solutions </w:t>
      </w:r>
      <w:r w:rsidR="00ED5B53">
        <w:rPr>
          <w:rFonts w:asciiTheme="majorHAnsi" w:hAnsiTheme="majorHAnsi" w:cs="Times New Roman"/>
          <w:b/>
        </w:rPr>
        <w:t>Logistics Project Manager</w:t>
      </w:r>
      <w:r w:rsidR="00A15D96">
        <w:rPr>
          <w:rFonts w:asciiTheme="majorHAnsi" w:hAnsiTheme="majorHAnsi" w:cs="Times New Roman"/>
          <w:b/>
        </w:rPr>
        <w:t xml:space="preserve"> Oklahoma</w:t>
      </w:r>
      <w:r>
        <w:rPr>
          <w:rFonts w:asciiTheme="majorHAnsi" w:hAnsiTheme="majorHAnsi" w:cs="Times New Roman"/>
          <w:b/>
        </w:rPr>
        <w:t xml:space="preserve"> City, OK January 2020-Present</w:t>
      </w:r>
    </w:p>
    <w:p w14:paraId="652D47EC"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Pioneered the development of Arch's comprehensive supply chain solution, strategically integrating innovative strategies and meticulous business and operations planning. This initiative not only established Arch as a frontrunner in network maintenance but also positioned the company for global competitiveness.</w:t>
      </w:r>
    </w:p>
    <w:p w14:paraId="152D1815"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Demonstrated an in-depth understanding of international customs laws, continuously staying abreast of changes and intricacies. This commitment ensures a seamless transition into new countries, showcasing Arch's dedication to regulatory compliance and operational excellence.</w:t>
      </w:r>
    </w:p>
    <w:p w14:paraId="7E018DF4"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Set, managed, and surpassed client expectations by overseeing project scope, timeline adherence, and the fulfillment of commitments. Effectively communicated the unique value proposition of Arch, solidifying its reputation as a leader in network maintenance.</w:t>
      </w:r>
    </w:p>
    <w:p w14:paraId="1CAFCFEA"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As a strategic project manager, leveraged an extensive network of vendors and partner channels to expand Arch's global footprint. Successfully executed entry into diverse markets, including South America, the EU, Asia, Oceania, and Africa, exceeding established expectations.</w:t>
      </w:r>
    </w:p>
    <w:p w14:paraId="1FC80AAB"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Provided leadership by educating clients on identifying network interruptions and imparting knowledge to peers on the complexities of international shipping procedures. This proactive approach not only enhanced client relationships but also contributed to a more knowledgeable and efficient team.</w:t>
      </w:r>
    </w:p>
    <w:p w14:paraId="584E009C"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Managed a diverse portfolio exceeding $3 million, including high-profile clients such as AT&amp;T, Nestle, Airgas, and DOW. As the primary point of contact, ensured seamless day-to-day operations, reinforcing client confidence in Arch's capabilities.</w:t>
      </w:r>
    </w:p>
    <w:p w14:paraId="437A4D3E"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Introduced cutting-edge technology to the company, implementing a real-time equipment dispatch platform. This strategic move eliminated operational inefficiencies, resulting in a remarkable 100% increase in response time and adherence to service level agreements.</w:t>
      </w:r>
    </w:p>
    <w:p w14:paraId="45F224EE"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Spearheaded coordination of global shipments, navigating and adhering to all Customs and Border Protection (CBP) guidelines. This meticulous oversight ensures the secure and compliant transportation of goods from point A to B.</w:t>
      </w:r>
    </w:p>
    <w:p w14:paraId="757F9D64"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t>Proactively managed vendor relationships, skillfully negotiating current pricing to align with budgetary constraints. This approach optimized operational costs and contributed to the financial health of the organization.</w:t>
      </w:r>
    </w:p>
    <w:p w14:paraId="3BC60ADA" w14:textId="77777777" w:rsidR="00B11F84" w:rsidRPr="00B11F84" w:rsidRDefault="00B11F84" w:rsidP="00B11F84">
      <w:pPr>
        <w:numPr>
          <w:ilvl w:val="0"/>
          <w:numId w:val="6"/>
        </w:numPr>
        <w:spacing w:after="0"/>
        <w:rPr>
          <w:rFonts w:asciiTheme="majorHAnsi" w:hAnsiTheme="majorHAnsi" w:cs="Times New Roman"/>
          <w:bCs/>
        </w:rPr>
      </w:pPr>
      <w:r w:rsidRPr="00B11F84">
        <w:rPr>
          <w:rFonts w:asciiTheme="majorHAnsi" w:hAnsiTheme="majorHAnsi" w:cs="Times New Roman"/>
          <w:bCs/>
        </w:rPr>
        <w:lastRenderedPageBreak/>
        <w:t>Successfully passed the customs broker exam, with licensure in progress. This accomplishment underscores a commitment to professional development and positions Arch for continued success in international logistics.</w:t>
      </w:r>
    </w:p>
    <w:p w14:paraId="462C8F40" w14:textId="77777777" w:rsidR="00877F2D" w:rsidRDefault="00877F2D">
      <w:pPr>
        <w:spacing w:after="0"/>
        <w:rPr>
          <w:rFonts w:asciiTheme="majorHAnsi" w:hAnsiTheme="majorHAnsi" w:cs="Times New Roman"/>
          <w:b/>
        </w:rPr>
      </w:pPr>
    </w:p>
    <w:p w14:paraId="0AEFF227" w14:textId="1BA28DF4" w:rsidR="005776E7" w:rsidRDefault="00C352DB">
      <w:pPr>
        <w:spacing w:after="0"/>
        <w:rPr>
          <w:rFonts w:asciiTheme="majorHAnsi" w:hAnsiTheme="majorHAnsi" w:cs="Times New Roman"/>
          <w:b/>
        </w:rPr>
      </w:pPr>
      <w:r>
        <w:rPr>
          <w:rFonts w:asciiTheme="majorHAnsi" w:hAnsiTheme="majorHAnsi" w:cs="Times New Roman"/>
          <w:b/>
        </w:rPr>
        <w:t>Total Quality Logistics</w:t>
      </w:r>
      <w:r w:rsidR="00465815">
        <w:rPr>
          <w:rFonts w:asciiTheme="majorHAnsi" w:hAnsiTheme="majorHAnsi" w:cs="Times New Roman"/>
          <w:b/>
        </w:rPr>
        <w:t xml:space="preserve">, Logistics Account Executive   </w:t>
      </w:r>
      <w:r w:rsidR="00465815" w:rsidRPr="00465815">
        <w:rPr>
          <w:rFonts w:asciiTheme="majorHAnsi" w:hAnsiTheme="majorHAnsi" w:cs="Times New Roman"/>
          <w:b/>
        </w:rPr>
        <w:t>St. Louis, MO</w:t>
      </w:r>
      <w:r w:rsidR="00465815">
        <w:rPr>
          <w:rFonts w:asciiTheme="majorHAnsi" w:hAnsiTheme="majorHAnsi" w:cs="Times New Roman"/>
        </w:rPr>
        <w:t xml:space="preserve">      </w:t>
      </w:r>
      <w:r>
        <w:rPr>
          <w:rFonts w:asciiTheme="majorHAnsi" w:hAnsiTheme="majorHAnsi" w:cs="Times New Roman"/>
          <w:b/>
        </w:rPr>
        <w:t xml:space="preserve">January 2019- </w:t>
      </w:r>
      <w:r w:rsidR="00A21500">
        <w:rPr>
          <w:rFonts w:asciiTheme="majorHAnsi" w:hAnsiTheme="majorHAnsi" w:cs="Times New Roman"/>
          <w:b/>
        </w:rPr>
        <w:t>Jan 2020</w:t>
      </w:r>
    </w:p>
    <w:p w14:paraId="07DB7487" w14:textId="77777777" w:rsidR="00877F2D" w:rsidRPr="00877F2D" w:rsidRDefault="00877F2D" w:rsidP="00877F2D">
      <w:pPr>
        <w:pStyle w:val="ListParagraph"/>
        <w:numPr>
          <w:ilvl w:val="0"/>
          <w:numId w:val="1"/>
        </w:numPr>
        <w:ind w:left="360"/>
        <w:rPr>
          <w:rFonts w:asciiTheme="majorHAnsi" w:hAnsiTheme="majorHAnsi" w:cs="Times New Roman"/>
          <w:bCs/>
        </w:rPr>
      </w:pPr>
      <w:r w:rsidRPr="00877F2D">
        <w:rPr>
          <w:rFonts w:asciiTheme="majorHAnsi" w:hAnsiTheme="majorHAnsi" w:cs="Times New Roman"/>
          <w:bCs/>
        </w:rPr>
        <w:t>Achieved rapid business growth by building a $3k a week book of business in just 4 months, clearing "proving grounds" within the first week of training.</w:t>
      </w:r>
    </w:p>
    <w:p w14:paraId="09121033" w14:textId="77777777" w:rsidR="00877F2D" w:rsidRPr="00877F2D" w:rsidRDefault="00877F2D" w:rsidP="00877F2D">
      <w:pPr>
        <w:pStyle w:val="ListParagraph"/>
        <w:numPr>
          <w:ilvl w:val="0"/>
          <w:numId w:val="1"/>
        </w:numPr>
        <w:ind w:left="360"/>
        <w:rPr>
          <w:rFonts w:asciiTheme="majorHAnsi" w:hAnsiTheme="majorHAnsi" w:cs="Times New Roman"/>
          <w:bCs/>
        </w:rPr>
      </w:pPr>
      <w:r w:rsidRPr="00877F2D">
        <w:rPr>
          <w:rFonts w:asciiTheme="majorHAnsi" w:hAnsiTheme="majorHAnsi" w:cs="Times New Roman"/>
          <w:bCs/>
        </w:rPr>
        <w:t>Maintained impeccable customer service, fostering strong broker-carrier and broker-customer relations.</w:t>
      </w:r>
    </w:p>
    <w:p w14:paraId="15042E00" w14:textId="77777777" w:rsidR="00877F2D" w:rsidRPr="00877F2D" w:rsidRDefault="00877F2D" w:rsidP="00877F2D">
      <w:pPr>
        <w:pStyle w:val="ListParagraph"/>
        <w:numPr>
          <w:ilvl w:val="0"/>
          <w:numId w:val="1"/>
        </w:numPr>
        <w:ind w:left="360"/>
        <w:rPr>
          <w:rFonts w:asciiTheme="majorHAnsi" w:hAnsiTheme="majorHAnsi" w:cs="Times New Roman"/>
          <w:bCs/>
        </w:rPr>
      </w:pPr>
      <w:r w:rsidRPr="00877F2D">
        <w:rPr>
          <w:rFonts w:asciiTheme="majorHAnsi" w:hAnsiTheme="majorHAnsi" w:cs="Times New Roman"/>
          <w:bCs/>
        </w:rPr>
        <w:t>Orchestrated daily truck coordination, consistently surpassing customer expectations for on-time delivery</w:t>
      </w:r>
    </w:p>
    <w:p w14:paraId="0E3B3B0B" w14:textId="64D9854B" w:rsidR="005776E7" w:rsidRPr="00877F2D" w:rsidRDefault="005776E7" w:rsidP="00877F2D">
      <w:pPr>
        <w:spacing w:after="0"/>
        <w:rPr>
          <w:rFonts w:asciiTheme="majorHAnsi" w:hAnsiTheme="majorHAnsi" w:cs="Times New Roman"/>
          <w:b/>
        </w:rPr>
      </w:pPr>
    </w:p>
    <w:sectPr w:rsidR="005776E7" w:rsidRPr="00877F2D">
      <w:type w:val="continuous"/>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D8C"/>
    <w:multiLevelType w:val="hybridMultilevel"/>
    <w:tmpl w:val="6EBA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978D5"/>
    <w:multiLevelType w:val="multilevel"/>
    <w:tmpl w:val="9A0C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D74F8"/>
    <w:multiLevelType w:val="multilevel"/>
    <w:tmpl w:val="678C395F"/>
    <w:styleLink w:val="CurrentList1"/>
    <w:lvl w:ilvl="0">
      <w:start w:val="1"/>
      <w:numFmt w:val="bullet"/>
      <w:lvlText w:val=""/>
      <w:lvlJc w:val="left"/>
      <w:pPr>
        <w:ind w:left="-810" w:hanging="360"/>
      </w:pPr>
      <w:rPr>
        <w:rFonts w:ascii="Wingdings" w:hAnsi="Wingdings" w:hint="default"/>
      </w:rPr>
    </w:lvl>
    <w:lvl w:ilvl="1">
      <w:start w:val="1"/>
      <w:numFmt w:val="bullet"/>
      <w:lvlText w:val="o"/>
      <w:lvlJc w:val="left"/>
      <w:pPr>
        <w:ind w:left="-90" w:hanging="360"/>
      </w:pPr>
      <w:rPr>
        <w:rFonts w:ascii="Courier New" w:hAnsi="Courier New" w:cs="Courier New" w:hint="default"/>
      </w:rPr>
    </w:lvl>
    <w:lvl w:ilvl="2">
      <w:start w:val="1"/>
      <w:numFmt w:val="bullet"/>
      <w:lvlText w:val=""/>
      <w:lvlJc w:val="left"/>
      <w:pPr>
        <w:ind w:left="630" w:hanging="360"/>
      </w:pPr>
      <w:rPr>
        <w:rFonts w:ascii="Wingdings" w:hAnsi="Wingdings" w:hint="default"/>
      </w:rPr>
    </w:lvl>
    <w:lvl w:ilvl="3">
      <w:start w:val="1"/>
      <w:numFmt w:val="bullet"/>
      <w:lvlText w:val=""/>
      <w:lvlJc w:val="left"/>
      <w:pPr>
        <w:ind w:left="1350" w:hanging="360"/>
      </w:pPr>
      <w:rPr>
        <w:rFonts w:ascii="Symbol" w:hAnsi="Symbol" w:hint="default"/>
      </w:rPr>
    </w:lvl>
    <w:lvl w:ilvl="4">
      <w:start w:val="1"/>
      <w:numFmt w:val="bullet"/>
      <w:lvlText w:val="o"/>
      <w:lvlJc w:val="left"/>
      <w:pPr>
        <w:ind w:left="2070" w:hanging="360"/>
      </w:pPr>
      <w:rPr>
        <w:rFonts w:ascii="Courier New" w:hAnsi="Courier New" w:cs="Courier New" w:hint="default"/>
      </w:rPr>
    </w:lvl>
    <w:lvl w:ilvl="5">
      <w:start w:val="1"/>
      <w:numFmt w:val="bullet"/>
      <w:lvlText w:val=""/>
      <w:lvlJc w:val="left"/>
      <w:pPr>
        <w:ind w:left="2790" w:hanging="360"/>
      </w:pPr>
      <w:rPr>
        <w:rFonts w:ascii="Wingdings" w:hAnsi="Wingdings" w:hint="default"/>
      </w:rPr>
    </w:lvl>
    <w:lvl w:ilvl="6">
      <w:start w:val="1"/>
      <w:numFmt w:val="bullet"/>
      <w:lvlText w:val=""/>
      <w:lvlJc w:val="left"/>
      <w:pPr>
        <w:ind w:left="3510" w:hanging="360"/>
      </w:pPr>
      <w:rPr>
        <w:rFonts w:ascii="Symbol" w:hAnsi="Symbol" w:hint="default"/>
      </w:rPr>
    </w:lvl>
    <w:lvl w:ilvl="7">
      <w:start w:val="1"/>
      <w:numFmt w:val="bullet"/>
      <w:lvlText w:val="o"/>
      <w:lvlJc w:val="left"/>
      <w:pPr>
        <w:ind w:left="4230" w:hanging="360"/>
      </w:pPr>
      <w:rPr>
        <w:rFonts w:ascii="Courier New" w:hAnsi="Courier New" w:cs="Courier New" w:hint="default"/>
      </w:rPr>
    </w:lvl>
    <w:lvl w:ilvl="8">
      <w:start w:val="1"/>
      <w:numFmt w:val="bullet"/>
      <w:lvlText w:val=""/>
      <w:lvlJc w:val="left"/>
      <w:pPr>
        <w:ind w:left="4950" w:hanging="360"/>
      </w:pPr>
      <w:rPr>
        <w:rFonts w:ascii="Wingdings" w:hAnsi="Wingdings" w:hint="default"/>
      </w:rPr>
    </w:lvl>
  </w:abstractNum>
  <w:abstractNum w:abstractNumId="3" w15:restartNumberingAfterBreak="0">
    <w:nsid w:val="46D82189"/>
    <w:multiLevelType w:val="multilevel"/>
    <w:tmpl w:val="703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8C395F"/>
    <w:multiLevelType w:val="multilevel"/>
    <w:tmpl w:val="678C395F"/>
    <w:lvl w:ilvl="0">
      <w:start w:val="1"/>
      <w:numFmt w:val="bullet"/>
      <w:lvlText w:val=""/>
      <w:lvlJc w:val="left"/>
      <w:pPr>
        <w:ind w:left="-810" w:hanging="360"/>
      </w:pPr>
      <w:rPr>
        <w:rFonts w:ascii="Wingdings" w:hAnsi="Wingdings" w:hint="default"/>
      </w:rPr>
    </w:lvl>
    <w:lvl w:ilvl="1">
      <w:start w:val="1"/>
      <w:numFmt w:val="bullet"/>
      <w:lvlText w:val="o"/>
      <w:lvlJc w:val="left"/>
      <w:pPr>
        <w:ind w:left="-90" w:hanging="360"/>
      </w:pPr>
      <w:rPr>
        <w:rFonts w:ascii="Courier New" w:hAnsi="Courier New" w:cs="Courier New" w:hint="default"/>
      </w:rPr>
    </w:lvl>
    <w:lvl w:ilvl="2">
      <w:start w:val="1"/>
      <w:numFmt w:val="bullet"/>
      <w:lvlText w:val=""/>
      <w:lvlJc w:val="left"/>
      <w:pPr>
        <w:ind w:left="630" w:hanging="360"/>
      </w:pPr>
      <w:rPr>
        <w:rFonts w:ascii="Wingdings" w:hAnsi="Wingdings" w:hint="default"/>
      </w:rPr>
    </w:lvl>
    <w:lvl w:ilvl="3">
      <w:start w:val="1"/>
      <w:numFmt w:val="bullet"/>
      <w:lvlText w:val=""/>
      <w:lvlJc w:val="left"/>
      <w:pPr>
        <w:ind w:left="1350" w:hanging="360"/>
      </w:pPr>
      <w:rPr>
        <w:rFonts w:ascii="Symbol" w:hAnsi="Symbol" w:hint="default"/>
      </w:rPr>
    </w:lvl>
    <w:lvl w:ilvl="4">
      <w:start w:val="1"/>
      <w:numFmt w:val="bullet"/>
      <w:lvlText w:val="o"/>
      <w:lvlJc w:val="left"/>
      <w:pPr>
        <w:ind w:left="2070" w:hanging="360"/>
      </w:pPr>
      <w:rPr>
        <w:rFonts w:ascii="Courier New" w:hAnsi="Courier New" w:cs="Courier New" w:hint="default"/>
      </w:rPr>
    </w:lvl>
    <w:lvl w:ilvl="5">
      <w:start w:val="1"/>
      <w:numFmt w:val="bullet"/>
      <w:lvlText w:val=""/>
      <w:lvlJc w:val="left"/>
      <w:pPr>
        <w:ind w:left="2790" w:hanging="360"/>
      </w:pPr>
      <w:rPr>
        <w:rFonts w:ascii="Wingdings" w:hAnsi="Wingdings" w:hint="default"/>
      </w:rPr>
    </w:lvl>
    <w:lvl w:ilvl="6">
      <w:start w:val="1"/>
      <w:numFmt w:val="bullet"/>
      <w:lvlText w:val=""/>
      <w:lvlJc w:val="left"/>
      <w:pPr>
        <w:ind w:left="3510" w:hanging="360"/>
      </w:pPr>
      <w:rPr>
        <w:rFonts w:ascii="Symbol" w:hAnsi="Symbol" w:hint="default"/>
      </w:rPr>
    </w:lvl>
    <w:lvl w:ilvl="7">
      <w:start w:val="1"/>
      <w:numFmt w:val="bullet"/>
      <w:lvlText w:val="o"/>
      <w:lvlJc w:val="left"/>
      <w:pPr>
        <w:ind w:left="4230" w:hanging="360"/>
      </w:pPr>
      <w:rPr>
        <w:rFonts w:ascii="Courier New" w:hAnsi="Courier New" w:cs="Courier New" w:hint="default"/>
      </w:rPr>
    </w:lvl>
    <w:lvl w:ilvl="8">
      <w:start w:val="1"/>
      <w:numFmt w:val="bullet"/>
      <w:lvlText w:val=""/>
      <w:lvlJc w:val="left"/>
      <w:pPr>
        <w:ind w:left="4950" w:hanging="360"/>
      </w:pPr>
      <w:rPr>
        <w:rFonts w:ascii="Wingdings" w:hAnsi="Wingdings" w:hint="default"/>
      </w:rPr>
    </w:lvl>
  </w:abstractNum>
  <w:abstractNum w:abstractNumId="5" w15:restartNumberingAfterBreak="0">
    <w:nsid w:val="70D56ACA"/>
    <w:multiLevelType w:val="multilevel"/>
    <w:tmpl w:val="154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7723734">
    <w:abstractNumId w:val="4"/>
  </w:num>
  <w:num w:numId="2" w16cid:durableId="1679885569">
    <w:abstractNumId w:val="0"/>
  </w:num>
  <w:num w:numId="3" w16cid:durableId="2135057586">
    <w:abstractNumId w:val="2"/>
  </w:num>
  <w:num w:numId="4" w16cid:durableId="1425758224">
    <w:abstractNumId w:val="3"/>
  </w:num>
  <w:num w:numId="5" w16cid:durableId="73087498">
    <w:abstractNumId w:val="1"/>
  </w:num>
  <w:num w:numId="6" w16cid:durableId="1821117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25A"/>
    <w:rsid w:val="0001098C"/>
    <w:rsid w:val="0001479A"/>
    <w:rsid w:val="000158AC"/>
    <w:rsid w:val="00015DEE"/>
    <w:rsid w:val="000238FB"/>
    <w:rsid w:val="000253CD"/>
    <w:rsid w:val="00030F99"/>
    <w:rsid w:val="00037DAE"/>
    <w:rsid w:val="00056076"/>
    <w:rsid w:val="00064CB7"/>
    <w:rsid w:val="000759CE"/>
    <w:rsid w:val="00077C79"/>
    <w:rsid w:val="00080439"/>
    <w:rsid w:val="000947BC"/>
    <w:rsid w:val="000A372B"/>
    <w:rsid w:val="000B4616"/>
    <w:rsid w:val="000B4EC3"/>
    <w:rsid w:val="000D7C60"/>
    <w:rsid w:val="00105635"/>
    <w:rsid w:val="00106CA1"/>
    <w:rsid w:val="001158C8"/>
    <w:rsid w:val="00117D96"/>
    <w:rsid w:val="00130144"/>
    <w:rsid w:val="001346CC"/>
    <w:rsid w:val="00142338"/>
    <w:rsid w:val="00142869"/>
    <w:rsid w:val="00142D48"/>
    <w:rsid w:val="00146014"/>
    <w:rsid w:val="0016425A"/>
    <w:rsid w:val="00167456"/>
    <w:rsid w:val="00175EB8"/>
    <w:rsid w:val="001B74B1"/>
    <w:rsid w:val="001D1F59"/>
    <w:rsid w:val="001D2354"/>
    <w:rsid w:val="001E4D8E"/>
    <w:rsid w:val="001F0F22"/>
    <w:rsid w:val="002020A0"/>
    <w:rsid w:val="00205C2A"/>
    <w:rsid w:val="00211D72"/>
    <w:rsid w:val="00215662"/>
    <w:rsid w:val="00216F9E"/>
    <w:rsid w:val="00223CA6"/>
    <w:rsid w:val="002310E5"/>
    <w:rsid w:val="00241B3E"/>
    <w:rsid w:val="00251C5D"/>
    <w:rsid w:val="00252106"/>
    <w:rsid w:val="002524DF"/>
    <w:rsid w:val="00252789"/>
    <w:rsid w:val="00262DD2"/>
    <w:rsid w:val="00266357"/>
    <w:rsid w:val="00276428"/>
    <w:rsid w:val="002B12C8"/>
    <w:rsid w:val="002E0688"/>
    <w:rsid w:val="002E7CF8"/>
    <w:rsid w:val="002F5DA4"/>
    <w:rsid w:val="002F76AA"/>
    <w:rsid w:val="00314A57"/>
    <w:rsid w:val="00353AD0"/>
    <w:rsid w:val="00366899"/>
    <w:rsid w:val="003753C9"/>
    <w:rsid w:val="00382B7F"/>
    <w:rsid w:val="003C7F3A"/>
    <w:rsid w:val="003D49C4"/>
    <w:rsid w:val="00407A6E"/>
    <w:rsid w:val="00445884"/>
    <w:rsid w:val="00447508"/>
    <w:rsid w:val="0045305F"/>
    <w:rsid w:val="00455C12"/>
    <w:rsid w:val="00465815"/>
    <w:rsid w:val="00487767"/>
    <w:rsid w:val="004B07DA"/>
    <w:rsid w:val="004B095B"/>
    <w:rsid w:val="004D14F8"/>
    <w:rsid w:val="004D6DCC"/>
    <w:rsid w:val="00514707"/>
    <w:rsid w:val="005178C2"/>
    <w:rsid w:val="00530AB7"/>
    <w:rsid w:val="0054457D"/>
    <w:rsid w:val="005522A2"/>
    <w:rsid w:val="00563394"/>
    <w:rsid w:val="005776E7"/>
    <w:rsid w:val="005960CB"/>
    <w:rsid w:val="005A47F7"/>
    <w:rsid w:val="005A7595"/>
    <w:rsid w:val="005B2AF1"/>
    <w:rsid w:val="005C3B2E"/>
    <w:rsid w:val="005F605D"/>
    <w:rsid w:val="00624550"/>
    <w:rsid w:val="006325EC"/>
    <w:rsid w:val="006373B0"/>
    <w:rsid w:val="00642235"/>
    <w:rsid w:val="00672E12"/>
    <w:rsid w:val="006738C4"/>
    <w:rsid w:val="00690862"/>
    <w:rsid w:val="006D7EC0"/>
    <w:rsid w:val="006E57E0"/>
    <w:rsid w:val="006F0AEB"/>
    <w:rsid w:val="006F72C4"/>
    <w:rsid w:val="00704791"/>
    <w:rsid w:val="00704E74"/>
    <w:rsid w:val="007132D8"/>
    <w:rsid w:val="007439A0"/>
    <w:rsid w:val="00750FBD"/>
    <w:rsid w:val="0075243F"/>
    <w:rsid w:val="00764169"/>
    <w:rsid w:val="00770687"/>
    <w:rsid w:val="007C5829"/>
    <w:rsid w:val="00800B4D"/>
    <w:rsid w:val="00801AA2"/>
    <w:rsid w:val="00860A5D"/>
    <w:rsid w:val="00875D3F"/>
    <w:rsid w:val="008775C6"/>
    <w:rsid w:val="00877F2D"/>
    <w:rsid w:val="00884742"/>
    <w:rsid w:val="008A461E"/>
    <w:rsid w:val="008C6AF0"/>
    <w:rsid w:val="008D3DBF"/>
    <w:rsid w:val="008E4317"/>
    <w:rsid w:val="008F00AC"/>
    <w:rsid w:val="00924A58"/>
    <w:rsid w:val="00940C1C"/>
    <w:rsid w:val="009430E1"/>
    <w:rsid w:val="00957BDA"/>
    <w:rsid w:val="00962D2C"/>
    <w:rsid w:val="00984433"/>
    <w:rsid w:val="009B6C6C"/>
    <w:rsid w:val="009C18F3"/>
    <w:rsid w:val="009E01AA"/>
    <w:rsid w:val="00A10FE9"/>
    <w:rsid w:val="00A13074"/>
    <w:rsid w:val="00A15D96"/>
    <w:rsid w:val="00A21500"/>
    <w:rsid w:val="00A266AA"/>
    <w:rsid w:val="00A33F4A"/>
    <w:rsid w:val="00A42DA2"/>
    <w:rsid w:val="00A65317"/>
    <w:rsid w:val="00A9425D"/>
    <w:rsid w:val="00AB6BA2"/>
    <w:rsid w:val="00AC186C"/>
    <w:rsid w:val="00AE2D47"/>
    <w:rsid w:val="00AF78AB"/>
    <w:rsid w:val="00B11472"/>
    <w:rsid w:val="00B11F84"/>
    <w:rsid w:val="00B25568"/>
    <w:rsid w:val="00B26294"/>
    <w:rsid w:val="00B643BB"/>
    <w:rsid w:val="00B71F2D"/>
    <w:rsid w:val="00B77983"/>
    <w:rsid w:val="00B86503"/>
    <w:rsid w:val="00B90C7D"/>
    <w:rsid w:val="00BA5B6E"/>
    <w:rsid w:val="00BB188E"/>
    <w:rsid w:val="00BB57CA"/>
    <w:rsid w:val="00BB6FC6"/>
    <w:rsid w:val="00BC5687"/>
    <w:rsid w:val="00BD1175"/>
    <w:rsid w:val="00BD3957"/>
    <w:rsid w:val="00BF29D1"/>
    <w:rsid w:val="00BF67C6"/>
    <w:rsid w:val="00C03573"/>
    <w:rsid w:val="00C17EBA"/>
    <w:rsid w:val="00C240E9"/>
    <w:rsid w:val="00C311FC"/>
    <w:rsid w:val="00C352DB"/>
    <w:rsid w:val="00C54578"/>
    <w:rsid w:val="00C73744"/>
    <w:rsid w:val="00C843EC"/>
    <w:rsid w:val="00CB216F"/>
    <w:rsid w:val="00CC4EC1"/>
    <w:rsid w:val="00CD55A1"/>
    <w:rsid w:val="00CF0A1A"/>
    <w:rsid w:val="00D2141E"/>
    <w:rsid w:val="00D30959"/>
    <w:rsid w:val="00D63E73"/>
    <w:rsid w:val="00D7020A"/>
    <w:rsid w:val="00D82B07"/>
    <w:rsid w:val="00DA20FC"/>
    <w:rsid w:val="00DB4FAE"/>
    <w:rsid w:val="00DC165F"/>
    <w:rsid w:val="00DD051E"/>
    <w:rsid w:val="00DE1F25"/>
    <w:rsid w:val="00DF0404"/>
    <w:rsid w:val="00E063DF"/>
    <w:rsid w:val="00E11EA3"/>
    <w:rsid w:val="00E37D61"/>
    <w:rsid w:val="00E4256B"/>
    <w:rsid w:val="00E43561"/>
    <w:rsid w:val="00E56B4C"/>
    <w:rsid w:val="00E6335C"/>
    <w:rsid w:val="00E70165"/>
    <w:rsid w:val="00E85B78"/>
    <w:rsid w:val="00E85DF7"/>
    <w:rsid w:val="00E941F6"/>
    <w:rsid w:val="00EB0D18"/>
    <w:rsid w:val="00EB4242"/>
    <w:rsid w:val="00ED5B53"/>
    <w:rsid w:val="00EF0B76"/>
    <w:rsid w:val="00EF12BA"/>
    <w:rsid w:val="00F21CC1"/>
    <w:rsid w:val="00F350E8"/>
    <w:rsid w:val="00F36E94"/>
    <w:rsid w:val="00F553DB"/>
    <w:rsid w:val="00F80CFF"/>
    <w:rsid w:val="00FA2809"/>
    <w:rsid w:val="00FA50EA"/>
    <w:rsid w:val="00FA61C9"/>
    <w:rsid w:val="00FB36ED"/>
    <w:rsid w:val="00FB3E59"/>
    <w:rsid w:val="00FC3D55"/>
    <w:rsid w:val="00FD5394"/>
    <w:rsid w:val="00FF1C76"/>
    <w:rsid w:val="00FF529D"/>
    <w:rsid w:val="06330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8203"/>
  <w15:docId w15:val="{60FCFC6E-4B88-44BE-BF68-8AA00185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CurrentList1">
    <w:name w:val="Current List1"/>
    <w:uiPriority w:val="99"/>
    <w:rsid w:val="007C582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0383">
      <w:bodyDiv w:val="1"/>
      <w:marLeft w:val="0"/>
      <w:marRight w:val="0"/>
      <w:marTop w:val="0"/>
      <w:marBottom w:val="0"/>
      <w:divBdr>
        <w:top w:val="none" w:sz="0" w:space="0" w:color="auto"/>
        <w:left w:val="none" w:sz="0" w:space="0" w:color="auto"/>
        <w:bottom w:val="none" w:sz="0" w:space="0" w:color="auto"/>
        <w:right w:val="none" w:sz="0" w:space="0" w:color="auto"/>
      </w:divBdr>
    </w:div>
    <w:div w:id="526527223">
      <w:bodyDiv w:val="1"/>
      <w:marLeft w:val="0"/>
      <w:marRight w:val="0"/>
      <w:marTop w:val="0"/>
      <w:marBottom w:val="0"/>
      <w:divBdr>
        <w:top w:val="none" w:sz="0" w:space="0" w:color="auto"/>
        <w:left w:val="none" w:sz="0" w:space="0" w:color="auto"/>
        <w:bottom w:val="none" w:sz="0" w:space="0" w:color="auto"/>
        <w:right w:val="none" w:sz="0" w:space="0" w:color="auto"/>
      </w:divBdr>
    </w:div>
    <w:div w:id="1324162430">
      <w:bodyDiv w:val="1"/>
      <w:marLeft w:val="0"/>
      <w:marRight w:val="0"/>
      <w:marTop w:val="0"/>
      <w:marBottom w:val="0"/>
      <w:divBdr>
        <w:top w:val="none" w:sz="0" w:space="0" w:color="auto"/>
        <w:left w:val="none" w:sz="0" w:space="0" w:color="auto"/>
        <w:bottom w:val="none" w:sz="0" w:space="0" w:color="auto"/>
        <w:right w:val="none" w:sz="0" w:space="0" w:color="auto"/>
      </w:divBdr>
    </w:div>
    <w:div w:id="170420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95FE8455-95B3-4FBA-901F-6B64ABFEC4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 Cordell</dc:creator>
  <cp:lastModifiedBy>Marc Torbit</cp:lastModifiedBy>
  <cp:revision>4</cp:revision>
  <cp:lastPrinted>2015-07-15T13:34:00Z</cp:lastPrinted>
  <dcterms:created xsi:type="dcterms:W3CDTF">2023-11-08T21:50:00Z</dcterms:created>
  <dcterms:modified xsi:type="dcterms:W3CDTF">2023-12-05T16:39:00Z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