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312" w:rsidRDefault="00360312" w:rsidP="00360312">
      <w:pPr>
        <w:pStyle w:val="Heading1"/>
        <w:shd w:val="clear" w:color="auto" w:fill="FFFFFF"/>
        <w:spacing w:before="0" w:after="180" w:line="567" w:lineRule="atLeast"/>
        <w:textAlignment w:val="baseline"/>
        <w:rPr>
          <w:rFonts w:ascii="Helvetica" w:eastAsia="Times New Roman" w:hAnsi="Helvetica" w:cs="Helvetica"/>
          <w:color w:val="353535"/>
          <w:sz w:val="42"/>
          <w:szCs w:val="42"/>
        </w:rPr>
      </w:pPr>
      <w:bookmarkStart w:id="0" w:name="_GoBack"/>
      <w:r>
        <w:rPr>
          <w:rFonts w:ascii="Helvetica" w:eastAsia="Times New Roman" w:hAnsi="Helvetica" w:cs="Helvetica"/>
          <w:color w:val="353535"/>
          <w:sz w:val="42"/>
          <w:szCs w:val="42"/>
        </w:rPr>
        <w:t>Export Trade Compliance Manager</w:t>
      </w:r>
    </w:p>
    <w:bookmarkEnd w:id="0"/>
    <w:p w:rsidR="001726EB" w:rsidRDefault="001726EB"/>
    <w:p w:rsidR="00360312" w:rsidRDefault="00360312" w:rsidP="00360312">
      <w:pPr>
        <w:shd w:val="clear" w:color="auto" w:fill="FFFFFF"/>
        <w:spacing w:line="224" w:lineRule="atLeast"/>
        <w:textAlignment w:val="baseline"/>
        <w:rPr>
          <w:rFonts w:ascii="inherit" w:hAnsi="inherit"/>
          <w:color w:val="353535"/>
          <w:sz w:val="20"/>
          <w:szCs w:val="20"/>
        </w:rPr>
      </w:pPr>
      <w:r>
        <w:rPr>
          <w:rFonts w:ascii="Arial" w:hAnsi="Arial" w:cs="Arial"/>
          <w:color w:val="353535"/>
          <w:sz w:val="20"/>
          <w:szCs w:val="20"/>
          <w:bdr w:val="none" w:sz="0" w:space="0" w:color="auto" w:frame="1"/>
        </w:rPr>
        <w:t>Avient Corporation provides specialized and sustainable material solutions that transform customer challenges into opportunities, bringing new products to life for a better world. Examples include: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proofErr w:type="spellStart"/>
      <w:r>
        <w:rPr>
          <w:rFonts w:ascii="Arial" w:hAnsi="Arial" w:cs="Arial"/>
          <w:color w:val="353535"/>
          <w:sz w:val="20"/>
          <w:szCs w:val="20"/>
          <w:bdr w:val="none" w:sz="0" w:space="0" w:color="auto" w:frame="1"/>
        </w:rPr>
        <w:t>Dyneema</w:t>
      </w:r>
      <w:proofErr w:type="spellEnd"/>
      <w:r>
        <w:rPr>
          <w:rFonts w:ascii="Arial" w:hAnsi="Arial" w:cs="Arial"/>
          <w:color w:val="353535"/>
          <w:sz w:val="20"/>
          <w:szCs w:val="20"/>
          <w:bdr w:val="none" w:sz="0" w:space="0" w:color="auto" w:frame="1"/>
        </w:rPr>
        <w:t>®, the world’s strongest fiber™, enables unmatched levels of performance and protection for end-use applications, including ballistic personal protection, marine and sustainable infrastructure and outdoor sports  </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Unique technologies that improve the recyclability of products and enable recycled content to be incorporated, thus advancing a more circular economy   </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Light-weighting solutions that replace heavier traditional materials like metal, glass and wood, which can improve fuel efficiency in all modes of transportation and reduce carbon footprint  </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Sustainable infrastructure solutions that increase energy efficiency, renewable energy, natural resource conservation and fiber optic / 5G network accessibility</w:t>
      </w:r>
    </w:p>
    <w:p w:rsidR="00360312" w:rsidRDefault="00360312" w:rsidP="00360312">
      <w:pPr>
        <w:shd w:val="clear" w:color="auto" w:fill="FFFFFF"/>
        <w:spacing w:line="224" w:lineRule="atLeast"/>
        <w:textAlignment w:val="baseline"/>
        <w:rPr>
          <w:rFonts w:ascii="inherit" w:hAnsi="inherit"/>
          <w:color w:val="353535"/>
          <w:sz w:val="20"/>
          <w:szCs w:val="20"/>
        </w:rPr>
      </w:pPr>
      <w:r>
        <w:rPr>
          <w:rFonts w:ascii="Arial" w:hAnsi="Arial" w:cs="Arial"/>
          <w:color w:val="353535"/>
          <w:sz w:val="20"/>
          <w:szCs w:val="20"/>
          <w:bdr w:val="none" w:sz="0" w:space="0" w:color="auto" w:frame="1"/>
        </w:rPr>
        <w:t>Avient employs approximately 10,000 associates and is certified ACC Responsible Care®, a founding member of the Alliance to End Plastic Waste and certified Great Place to Work®.  For more information, visit </w:t>
      </w:r>
      <w:hyperlink r:id="rId4" w:history="1">
        <w:r>
          <w:rPr>
            <w:rStyle w:val="Hyperlink"/>
            <w:rFonts w:ascii="Arial" w:hAnsi="Arial" w:cs="Arial"/>
            <w:color w:val="05C1B9"/>
            <w:sz w:val="20"/>
            <w:szCs w:val="20"/>
            <w:bdr w:val="none" w:sz="0" w:space="0" w:color="auto" w:frame="1"/>
          </w:rPr>
          <w:t>www.avient.com</w:t>
        </w:r>
      </w:hyperlink>
      <w:r>
        <w:rPr>
          <w:rFonts w:ascii="Arial" w:hAnsi="Arial" w:cs="Arial"/>
          <w:color w:val="000000"/>
          <w:sz w:val="20"/>
          <w:szCs w:val="20"/>
          <w:bdr w:val="none" w:sz="0" w:space="0" w:color="auto" w:frame="1"/>
        </w:rPr>
        <w:t>.</w:t>
      </w:r>
    </w:p>
    <w:p w:rsidR="00360312" w:rsidRDefault="00360312" w:rsidP="00360312">
      <w:pPr>
        <w:shd w:val="clear" w:color="auto" w:fill="FFFFFF"/>
        <w:spacing w:line="224" w:lineRule="atLeast"/>
        <w:textAlignment w:val="baseline"/>
        <w:rPr>
          <w:rFonts w:ascii="inherit" w:hAnsi="inherit"/>
          <w:color w:val="353535"/>
          <w:sz w:val="20"/>
          <w:szCs w:val="20"/>
        </w:rPr>
      </w:pPr>
      <w:r>
        <w:rPr>
          <w:rFonts w:ascii="Arial" w:hAnsi="Arial" w:cs="Arial"/>
          <w:color w:val="000000"/>
          <w:sz w:val="20"/>
          <w:szCs w:val="20"/>
          <w:bdr w:val="none" w:sz="0" w:space="0" w:color="auto" w:frame="1"/>
        </w:rPr>
        <w:t> </w:t>
      </w:r>
    </w:p>
    <w:p w:rsidR="00360312" w:rsidRDefault="00360312" w:rsidP="00360312">
      <w:pPr>
        <w:shd w:val="clear" w:color="auto" w:fill="FFFFFF"/>
        <w:spacing w:line="224" w:lineRule="atLeast"/>
        <w:textAlignment w:val="baseline"/>
        <w:rPr>
          <w:rFonts w:ascii="inherit" w:hAnsi="inherit"/>
          <w:color w:val="353535"/>
          <w:sz w:val="20"/>
          <w:szCs w:val="20"/>
        </w:rPr>
      </w:pPr>
      <w:r>
        <w:rPr>
          <w:rFonts w:ascii="Arial" w:hAnsi="Arial" w:cs="Arial"/>
          <w:b/>
          <w:bCs/>
          <w:color w:val="353535"/>
          <w:sz w:val="20"/>
          <w:szCs w:val="20"/>
          <w:bdr w:val="none" w:sz="0" w:space="0" w:color="auto" w:frame="1"/>
        </w:rPr>
        <w:t>WHY AVIENT:</w:t>
      </w:r>
    </w:p>
    <w:p w:rsidR="00360312" w:rsidRDefault="00360312" w:rsidP="00360312">
      <w:pPr>
        <w:pStyle w:val="paragraph"/>
        <w:shd w:val="clear" w:color="auto" w:fill="FFFFFF"/>
        <w:spacing w:before="0" w:beforeAutospacing="0" w:after="0" w:afterAutospacing="0" w:line="332" w:lineRule="atLeast"/>
        <w:textAlignment w:val="baseline"/>
        <w:rPr>
          <w:rFonts w:ascii="inherit" w:hAnsi="inherit"/>
          <w:color w:val="353535"/>
          <w:sz w:val="20"/>
          <w:szCs w:val="20"/>
        </w:rPr>
      </w:pPr>
      <w:r>
        <w:rPr>
          <w:rStyle w:val="normaltextrun"/>
          <w:rFonts w:ascii="Arial" w:hAnsi="Arial" w:cs="Arial"/>
          <w:color w:val="353535"/>
          <w:sz w:val="22"/>
          <w:szCs w:val="22"/>
          <w:bdr w:val="none" w:sz="0" w:space="0" w:color="auto" w:frame="1"/>
        </w:rPr>
        <w:t>Avient Corporation is a world-class sustainable organization built on innovation, collaboration, and employee development. We are committed to providing a supportive and dynamic work environment where our diverse associates can grow and succeed, as well positively impacting our planet and the communities we serve. Our Great Place to Work culture, values, and benefits make Avient an employer of choice for top talent.</w:t>
      </w:r>
    </w:p>
    <w:p w:rsidR="00360312" w:rsidRDefault="00360312" w:rsidP="00360312">
      <w:pPr>
        <w:shd w:val="clear" w:color="auto" w:fill="FFFFFF"/>
        <w:spacing w:line="332" w:lineRule="atLeast"/>
        <w:textAlignment w:val="baseline"/>
        <w:rPr>
          <w:rFonts w:ascii="inherit" w:hAnsi="inherit"/>
          <w:color w:val="353535"/>
          <w:sz w:val="20"/>
          <w:szCs w:val="20"/>
        </w:rPr>
      </w:pPr>
      <w:r>
        <w:rPr>
          <w:rFonts w:ascii="Arial" w:hAnsi="Arial" w:cs="Arial"/>
          <w:color w:val="353535"/>
          <w:sz w:val="20"/>
          <w:szCs w:val="20"/>
          <w:bdr w:val="none" w:sz="0" w:space="0" w:color="auto" w:frame="1"/>
        </w:rPr>
        <w:t> </w:t>
      </w:r>
    </w:p>
    <w:p w:rsidR="00360312" w:rsidRDefault="00360312" w:rsidP="00360312">
      <w:pPr>
        <w:shd w:val="clear" w:color="auto" w:fill="FFFFFF"/>
        <w:spacing w:line="332" w:lineRule="atLeast"/>
        <w:textAlignment w:val="baseline"/>
        <w:rPr>
          <w:rFonts w:ascii="inherit" w:hAnsi="inherit"/>
          <w:color w:val="353535"/>
          <w:sz w:val="20"/>
          <w:szCs w:val="20"/>
        </w:rPr>
      </w:pPr>
      <w:r>
        <w:rPr>
          <w:rFonts w:ascii="Arial" w:hAnsi="Arial" w:cs="Arial"/>
          <w:color w:val="000000"/>
          <w:sz w:val="20"/>
          <w:szCs w:val="20"/>
          <w:bdr w:val="none" w:sz="0" w:space="0" w:color="auto" w:frame="1"/>
        </w:rPr>
        <w:t>At Avient, we believe diversity of ideas and backgrounds gives us the creativity to be successful in a rapidly changing world.  In support of this, we stress equality of opportunity for all qualified individuals in accordance with applicable laws. Decisions on hiring, promotion, development, compensation or advancement are based solely on a person’s qualifications, abilities, experience and performance.</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Job Summary</w:t>
      </w:r>
    </w:p>
    <w:p w:rsidR="00360312" w:rsidRDefault="00360312" w:rsidP="00360312">
      <w:pPr>
        <w:shd w:val="clear" w:color="auto" w:fill="FFFFFF"/>
        <w:spacing w:line="332" w:lineRule="atLeast"/>
        <w:textAlignment w:val="baseline"/>
        <w:rPr>
          <w:rFonts w:ascii="inherit" w:hAnsi="inherit"/>
          <w:color w:val="353535"/>
          <w:sz w:val="20"/>
          <w:szCs w:val="20"/>
        </w:rPr>
      </w:pPr>
      <w:r>
        <w:rPr>
          <w:rFonts w:ascii="Arial" w:hAnsi="Arial" w:cs="Arial"/>
          <w:color w:val="000000"/>
          <w:sz w:val="20"/>
          <w:szCs w:val="20"/>
          <w:bdr w:val="none" w:sz="0" w:space="0" w:color="auto" w:frame="1"/>
          <w:lang w:val="en"/>
        </w:rPr>
        <w:t>The Export Trade Compliance Manager is responsible for overseeing and executing all aspects of export activity in the U.S. and Canada, for all Avient business segments/units.  The position will report to the Global Strategic Trade Compliance Leader and will focus on assessing and mitigating risk to ensure compliance with U.S. and Canadian export regulations; overseeing and collaborating with Customs Brokers/Agents and Global Trade Management (GTM) software providers; managing Denied Party/Sanction Screening process globally; and leading all export registrations and licensing efforts.</w:t>
      </w:r>
    </w:p>
    <w:p w:rsidR="00360312" w:rsidRDefault="00360312" w:rsidP="00360312">
      <w:pPr>
        <w:shd w:val="clear" w:color="auto" w:fill="FFFFFF"/>
        <w:spacing w:line="332" w:lineRule="atLeast"/>
        <w:textAlignment w:val="baseline"/>
        <w:rPr>
          <w:rFonts w:ascii="inherit" w:hAnsi="inherit"/>
          <w:color w:val="353535"/>
          <w:sz w:val="20"/>
          <w:szCs w:val="20"/>
        </w:rPr>
      </w:pPr>
      <w:r>
        <w:rPr>
          <w:rFonts w:ascii="Arial" w:hAnsi="Arial" w:cs="Arial"/>
          <w:color w:val="000000"/>
          <w:sz w:val="20"/>
          <w:szCs w:val="20"/>
          <w:bdr w:val="none" w:sz="0" w:space="0" w:color="auto" w:frame="1"/>
          <w:lang w:val="en"/>
        </w:rPr>
        <w:t>Additionally, this role will support the development and maintenance of corporate policies and procedures to ensure compliance with worldwide import and export laws and regulations. Some travel may be required.</w:t>
      </w:r>
      <w:r>
        <w:rPr>
          <w:rFonts w:ascii="inherit" w:hAnsi="inherit"/>
          <w:color w:val="000000"/>
          <w:sz w:val="20"/>
          <w:szCs w:val="20"/>
          <w:bdr w:val="none" w:sz="0" w:space="0" w:color="auto" w:frame="1"/>
        </w:rPr>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lastRenderedPageBreak/>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Essential Functions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Lead and conduct relevant export program activity) in accordance with, relevant U.S. and Canadian government authorities, WTO, ICC, and Avient Policies and Procedures.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Administer the application and confirmation of certifications, registrations, and reporting for each relevant Avient entity.</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Conduct all aspects of export control and tariff classifications.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Maintain and update government Portals/Websites, user access, and export licenses.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Ensure physical and digital recordkeeping and controls of all export activity and registration files in accordance with regulations.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Respond to and facilitate all government queries, audits, notification of fines/penalties, and visits regarding export activities.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r>
        <w:rPr>
          <w:rFonts w:ascii="inherit" w:hAnsi="inherit"/>
          <w:color w:val="353535"/>
          <w:sz w:val="20"/>
          <w:szCs w:val="20"/>
          <w:bdr w:val="none" w:sz="0" w:space="0" w:color="auto" w:frame="1"/>
        </w:rPr>
        <w:t>o</w:t>
      </w:r>
      <w:r>
        <w:rPr>
          <w:color w:val="353535"/>
          <w:sz w:val="14"/>
          <w:szCs w:val="14"/>
          <w:bdr w:val="none" w:sz="0" w:space="0" w:color="auto" w:frame="1"/>
        </w:rPr>
        <w:t>   </w:t>
      </w:r>
      <w:r>
        <w:rPr>
          <w:rFonts w:ascii="Arial" w:hAnsi="Arial" w:cs="Arial"/>
          <w:color w:val="353535"/>
          <w:sz w:val="20"/>
          <w:szCs w:val="20"/>
          <w:bdr w:val="none" w:sz="0" w:space="0" w:color="auto" w:frame="1"/>
        </w:rPr>
        <w:t>Act as U.S. and Canadian subject matter expert to communicate, collaborate, and respond to all Avient internal queries (i.e., Commercial, Customer Service, Sourcing, Supply Chain, Product Stewardship, IT, Finance, Tax, etc.). </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Act as U.S. and Canadian export delegated authority, signatory, and U.S. DDTC/ITAR Corporate Administrator and Empowered Official.</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Monitor and identify changes in applicable rules, regulations, standards and related export trends relevant to the business unit; recommend and establish necessary modifications to policies and procedures.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Oversee and audit U.S. and Canadian Customs Broker/Agent performance including but not limited to:</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Classification/Determination of Harmonized Tariff Schedule (HTS), Export Controls and licensing, and Country of Origin (COO) for articles, software, and technology; and timely and accurate submission of Electronic Export Information (EEI).</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Own business relationships with:</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Appointed Customs Brokers/Agents – establish and ensure service agreement/contract, Powers of Attorney, and NDA exist; Invoice/Accounts Payable process; SOP's, audits, and KPI's.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GTM software vendors to enable interface with Avient ERP’s and relevant government authorities – establish and ensure service agreement/contract, software subscription/license, NDA, Invoice/Accounts Payable process.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Liaison with internal and external counsel as needed.</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Conduct export internal and external auditing, track, and metric results; utilize Lean Six Sigma methodology to drive continuous improvement efforts.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Develop and provide education plan and subject matter training to team and internal resources.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Communicate status, opportunities, objectives, and questions with Global Trade Compliance Leadership.</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Manage and oversee performance of direct reports and dotted line resources.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Support and execute aspects of Free Trade Agreement programs including vendor solicitations, qualification, issuance, and recordkeeping.</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Perform other work related tasks as assigned by the Global Strategic Trade Compliance Leader.</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Other duties as assigned.</w:t>
      </w:r>
    </w:p>
    <w:p w:rsidR="00360312" w:rsidRDefault="00360312" w:rsidP="00360312">
      <w:pPr>
        <w:shd w:val="clear" w:color="auto" w:fill="FFFFFF"/>
        <w:textAlignment w:val="baseline"/>
        <w:rPr>
          <w:rFonts w:ascii="inherit" w:hAnsi="inherit"/>
          <w:color w:val="353535"/>
          <w:sz w:val="20"/>
          <w:szCs w:val="20"/>
        </w:rPr>
      </w:pPr>
      <w:r>
        <w:rPr>
          <w:rFonts w:ascii="inherit" w:hAnsi="inherit"/>
          <w:b/>
          <w:bCs/>
          <w:color w:val="000000"/>
          <w:sz w:val="20"/>
          <w:szCs w:val="20"/>
          <w:bdr w:val="none" w:sz="0" w:space="0" w:color="auto" w:frame="1"/>
        </w:rPr>
        <w:t>Scope: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United States and Canadian Customs territories</w:t>
      </w:r>
    </w:p>
    <w:p w:rsidR="00360312" w:rsidRDefault="00360312" w:rsidP="00360312">
      <w:pPr>
        <w:pStyle w:val="NormalWeb"/>
        <w:shd w:val="clear" w:color="auto" w:fill="FFFFFF"/>
        <w:spacing w:before="0" w:beforeAutospacing="0" w:after="0" w:afterAutospacing="0" w:line="332" w:lineRule="atLeast"/>
        <w:textAlignment w:val="baseline"/>
        <w:rPr>
          <w:rFonts w:ascii="Arial" w:hAnsi="Arial" w:cs="Arial"/>
          <w:color w:val="353535"/>
          <w:sz w:val="20"/>
          <w:szCs w:val="20"/>
        </w:rPr>
      </w:pPr>
      <w:r>
        <w:rPr>
          <w:rFonts w:ascii="Arial" w:hAnsi="Arial" w:cs="Arial"/>
          <w:color w:val="353535"/>
          <w:sz w:val="22"/>
          <w:szCs w:val="22"/>
          <w:bdr w:val="none" w:sz="0" w:space="0" w:color="auto" w:frame="1"/>
        </w:rPr>
        <w:t xml:space="preserve">U.S. Person as defined by International Traffic </w:t>
      </w:r>
      <w:proofErr w:type="gramStart"/>
      <w:r>
        <w:rPr>
          <w:rFonts w:ascii="Arial" w:hAnsi="Arial" w:cs="Arial"/>
          <w:color w:val="353535"/>
          <w:sz w:val="22"/>
          <w:szCs w:val="22"/>
          <w:bdr w:val="none" w:sz="0" w:space="0" w:color="auto" w:frame="1"/>
        </w:rPr>
        <w:t>In</w:t>
      </w:r>
      <w:proofErr w:type="gramEnd"/>
      <w:r>
        <w:rPr>
          <w:rFonts w:ascii="Arial" w:hAnsi="Arial" w:cs="Arial"/>
          <w:color w:val="353535"/>
          <w:sz w:val="22"/>
          <w:szCs w:val="22"/>
          <w:bdr w:val="none" w:sz="0" w:space="0" w:color="auto" w:frame="1"/>
        </w:rPr>
        <w:t xml:space="preserve"> Arms Regulations (ITAR) 22 CFR §120.62</w:t>
      </w:r>
    </w:p>
    <w:p w:rsidR="00360312" w:rsidRDefault="00360312" w:rsidP="00360312">
      <w:pPr>
        <w:shd w:val="clear" w:color="auto" w:fill="FFFFFF"/>
        <w:textAlignment w:val="baseline"/>
        <w:rPr>
          <w:rFonts w:ascii="inherit" w:hAnsi="inherit" w:cs="Calibri"/>
          <w:color w:val="353535"/>
          <w:sz w:val="20"/>
          <w:szCs w:val="20"/>
        </w:rPr>
      </w:pPr>
      <w:r>
        <w:rPr>
          <w:rFonts w:ascii="Arial" w:hAnsi="Arial" w:cs="Arial"/>
          <w:b/>
          <w:bCs/>
          <w:color w:val="333333"/>
          <w:sz w:val="20"/>
          <w:szCs w:val="20"/>
          <w:bdr w:val="none" w:sz="0" w:space="0" w:color="auto" w:frame="1"/>
        </w:rPr>
        <w:t>Education and Experience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4-year degree or equivalent experience in international trade or customs brokerage.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Minimum of 5 years’ experience in international trade or customs brokerage, or international business environment and regulatory compliance including import, export, classification (HTSUS), brokerage, customs and compliance.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lastRenderedPageBreak/>
        <w:t>·</w:t>
      </w:r>
      <w:r>
        <w:rPr>
          <w:color w:val="353535"/>
          <w:sz w:val="14"/>
          <w:szCs w:val="14"/>
          <w:bdr w:val="none" w:sz="0" w:space="0" w:color="auto" w:frame="1"/>
        </w:rPr>
        <w:t>       </w:t>
      </w:r>
      <w:r>
        <w:rPr>
          <w:rFonts w:ascii="Arial" w:hAnsi="Arial" w:cs="Arial"/>
          <w:color w:val="353535"/>
          <w:sz w:val="20"/>
          <w:szCs w:val="20"/>
          <w:bdr w:val="none" w:sz="0" w:space="0" w:color="auto" w:frame="1"/>
        </w:rPr>
        <w:t>Fluent in export controls under the jurisdiction of U.S. Department of: 1) State/International Traffic in Arms Regulations (“ITAR”); 2) Commerce/Foreign Trade Regulations (“FTR”), and 3) Commerce/Export Control Regulations (“EAR”).</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Intimate knowledge of “Subject to the EAR” and the “Foreign Direct Product Rule”.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Proven Experience and successes with:</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353535"/>
          <w:sz w:val="20"/>
          <w:szCs w:val="20"/>
          <w:bdr w:val="none" w:sz="0" w:space="0" w:color="auto" w:frame="1"/>
        </w:rPr>
        <w:t>o</w:t>
      </w:r>
      <w:proofErr w:type="gramEnd"/>
      <w:r>
        <w:rPr>
          <w:color w:val="353535"/>
          <w:sz w:val="14"/>
          <w:szCs w:val="14"/>
          <w:bdr w:val="none" w:sz="0" w:space="0" w:color="auto" w:frame="1"/>
        </w:rPr>
        <w:t>   </w:t>
      </w:r>
      <w:r>
        <w:rPr>
          <w:rFonts w:ascii="Arial" w:hAnsi="Arial" w:cs="Arial"/>
          <w:color w:val="353535"/>
          <w:sz w:val="20"/>
          <w:szCs w:val="20"/>
          <w:bdr w:val="none" w:sz="0" w:space="0" w:color="auto" w:frame="1"/>
        </w:rPr>
        <w:t>Participating in U.S. Department of Commerce,</w:t>
      </w:r>
      <w:r>
        <w:rPr>
          <w:rFonts w:ascii="inherit" w:hAnsi="inherit"/>
          <w:color w:val="353535"/>
          <w:sz w:val="20"/>
          <w:szCs w:val="20"/>
          <w:bdr w:val="none" w:sz="0" w:space="0" w:color="auto" w:frame="1"/>
        </w:rPr>
        <w:t>  </w:t>
      </w:r>
      <w:r>
        <w:rPr>
          <w:rFonts w:ascii="Arial" w:hAnsi="Arial" w:cs="Arial"/>
          <w:color w:val="353535"/>
          <w:sz w:val="20"/>
          <w:szCs w:val="20"/>
          <w:bdr w:val="none" w:sz="0" w:space="0" w:color="auto" w:frame="1"/>
        </w:rPr>
        <w:t>State, or Treasury inquiries, audits, assessments, etc.</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000000"/>
          <w:sz w:val="20"/>
          <w:szCs w:val="20"/>
          <w:bdr w:val="none" w:sz="0" w:space="0" w:color="auto" w:frame="1"/>
        </w:rPr>
        <w:t>o</w:t>
      </w:r>
      <w:proofErr w:type="gramEnd"/>
      <w:r>
        <w:rPr>
          <w:color w:val="000000"/>
          <w:sz w:val="14"/>
          <w:szCs w:val="14"/>
          <w:bdr w:val="none" w:sz="0" w:space="0" w:color="auto" w:frame="1"/>
        </w:rPr>
        <w:t>   </w:t>
      </w:r>
      <w:r>
        <w:rPr>
          <w:rFonts w:ascii="Arial" w:hAnsi="Arial" w:cs="Arial"/>
          <w:color w:val="353535"/>
          <w:sz w:val="20"/>
          <w:szCs w:val="20"/>
          <w:bdr w:val="none" w:sz="0" w:space="0" w:color="auto" w:frame="1"/>
        </w:rPr>
        <w:t>Learning and interpreting U.S. and Canadian export regulations including but not limited to FTR, ITAR and related licensing, and EAR and related licensing.</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000000"/>
          <w:sz w:val="20"/>
          <w:szCs w:val="20"/>
          <w:bdr w:val="none" w:sz="0" w:space="0" w:color="auto" w:frame="1"/>
        </w:rPr>
        <w:t>o</w:t>
      </w:r>
      <w:proofErr w:type="gramEnd"/>
      <w:r>
        <w:rPr>
          <w:color w:val="000000"/>
          <w:sz w:val="14"/>
          <w:szCs w:val="14"/>
          <w:bdr w:val="none" w:sz="0" w:space="0" w:color="auto" w:frame="1"/>
        </w:rPr>
        <w:t>   </w:t>
      </w:r>
      <w:r>
        <w:rPr>
          <w:rFonts w:ascii="Arial" w:hAnsi="Arial" w:cs="Arial"/>
          <w:color w:val="353535"/>
          <w:sz w:val="20"/>
          <w:szCs w:val="20"/>
          <w:bdr w:val="none" w:sz="0" w:space="0" w:color="auto" w:frame="1"/>
        </w:rPr>
        <w:t>Creating and cascading export control processes and procedures.</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000000"/>
          <w:sz w:val="20"/>
          <w:szCs w:val="20"/>
          <w:bdr w:val="none" w:sz="0" w:space="0" w:color="auto" w:frame="1"/>
        </w:rPr>
        <w:t>o</w:t>
      </w:r>
      <w:proofErr w:type="gramEnd"/>
      <w:r>
        <w:rPr>
          <w:color w:val="000000"/>
          <w:sz w:val="14"/>
          <w:szCs w:val="14"/>
          <w:bdr w:val="none" w:sz="0" w:space="0" w:color="auto" w:frame="1"/>
        </w:rPr>
        <w:t>   </w:t>
      </w:r>
      <w:r>
        <w:rPr>
          <w:rFonts w:ascii="Arial" w:hAnsi="Arial" w:cs="Arial"/>
          <w:color w:val="353535"/>
          <w:sz w:val="20"/>
          <w:szCs w:val="20"/>
          <w:bdr w:val="none" w:sz="0" w:space="0" w:color="auto" w:frame="1"/>
        </w:rPr>
        <w:t>Performing export control classifications for articles, software, or technology controlled on the USML and/or the CCL.</w:t>
      </w:r>
    </w:p>
    <w:p w:rsidR="00360312" w:rsidRDefault="00360312" w:rsidP="00360312">
      <w:pPr>
        <w:pStyle w:val="ListParagraph"/>
        <w:shd w:val="clear" w:color="auto" w:fill="FFFFFF"/>
        <w:spacing w:before="0" w:beforeAutospacing="0" w:after="0" w:afterAutospacing="0" w:line="224" w:lineRule="atLeast"/>
        <w:ind w:left="1440" w:hanging="360"/>
        <w:textAlignment w:val="baseline"/>
        <w:rPr>
          <w:rFonts w:ascii="inherit" w:hAnsi="inherit"/>
          <w:color w:val="353535"/>
          <w:sz w:val="20"/>
          <w:szCs w:val="20"/>
        </w:rPr>
      </w:pPr>
      <w:proofErr w:type="gramStart"/>
      <w:r>
        <w:rPr>
          <w:rFonts w:ascii="inherit" w:hAnsi="inherit"/>
          <w:color w:val="000000"/>
          <w:sz w:val="20"/>
          <w:szCs w:val="20"/>
          <w:bdr w:val="none" w:sz="0" w:space="0" w:color="auto" w:frame="1"/>
        </w:rPr>
        <w:t>o</w:t>
      </w:r>
      <w:proofErr w:type="gramEnd"/>
      <w:r>
        <w:rPr>
          <w:color w:val="000000"/>
          <w:sz w:val="14"/>
          <w:szCs w:val="14"/>
          <w:bdr w:val="none" w:sz="0" w:space="0" w:color="auto" w:frame="1"/>
        </w:rPr>
        <w:t>   </w:t>
      </w:r>
      <w:r>
        <w:rPr>
          <w:rFonts w:ascii="Arial" w:hAnsi="Arial" w:cs="Arial"/>
          <w:color w:val="353535"/>
          <w:sz w:val="20"/>
          <w:szCs w:val="20"/>
          <w:bdr w:val="none" w:sz="0" w:space="0" w:color="auto" w:frame="1"/>
        </w:rPr>
        <w:t>Conducting internal discoveries and developing cause and corrective action plans.</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Additional Qualifications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lead and embrace change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and experience leading a high performing team and developing talent</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lead large scope cross functional projects to completion amidst uncertain conditions, obstacles and/or conflicting data</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collaborate with internal and external network to achieve company goals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work in teams while promoting Avient values and ethical standards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communicate effectively in writing and oral presentations to diverse audiences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work in a fast-paced environment with strong organizational skills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Ability to read, interpret, and apply U.S. and Canadian government regulations</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Proficiency with English in both written and verbal form</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SAP experience preferred</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Intermediate to advanced knowledge of Microsoft Office Suite</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Exposure to and understanding of U.S. and Canadian sanction and trade regulations governed by U.S. Department of State, Commerce, and Treasury.</w:t>
      </w:r>
    </w:p>
    <w:p w:rsidR="00360312" w:rsidRDefault="00360312" w:rsidP="00360312">
      <w:pPr>
        <w:pStyle w:val="ListParagraph"/>
        <w:shd w:val="clear" w:color="auto" w:fill="FFFFFF"/>
        <w:spacing w:before="0" w:beforeAutospacing="0" w:after="0" w:afterAutospacing="0" w:line="224" w:lineRule="atLeast"/>
        <w:ind w:hanging="360"/>
        <w:textAlignment w:val="baseline"/>
        <w:rPr>
          <w:rFonts w:ascii="inherit" w:hAnsi="inherit"/>
          <w:color w:val="353535"/>
          <w:sz w:val="20"/>
          <w:szCs w:val="20"/>
        </w:rPr>
      </w:pPr>
      <w:r>
        <w:rPr>
          <w:rFonts w:ascii="inherit" w:hAnsi="inherit"/>
          <w:color w:val="353535"/>
          <w:sz w:val="20"/>
          <w:szCs w:val="20"/>
          <w:bdr w:val="none" w:sz="0" w:space="0" w:color="auto" w:frame="1"/>
        </w:rPr>
        <w:t>·</w:t>
      </w:r>
      <w:r>
        <w:rPr>
          <w:color w:val="353535"/>
          <w:sz w:val="14"/>
          <w:szCs w:val="14"/>
          <w:bdr w:val="none" w:sz="0" w:space="0" w:color="auto" w:frame="1"/>
        </w:rPr>
        <w:t>       </w:t>
      </w:r>
      <w:r>
        <w:rPr>
          <w:rFonts w:ascii="Arial" w:hAnsi="Arial" w:cs="Arial"/>
          <w:color w:val="353535"/>
          <w:sz w:val="20"/>
          <w:szCs w:val="20"/>
          <w:bdr w:val="none" w:sz="0" w:space="0" w:color="auto" w:frame="1"/>
        </w:rPr>
        <w:t>Exposure to and understanding of international commerce and commercial terms (INCO Terms) as well as trade compliance practices and procedures as generally implemented in multinational organizations</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Competencies</w:t>
      </w:r>
    </w:p>
    <w:p w:rsidR="00360312" w:rsidRDefault="00360312" w:rsidP="00360312">
      <w:pPr>
        <w:pStyle w:val="ListParagraph"/>
        <w:shd w:val="clear" w:color="auto" w:fill="FFFFFF"/>
        <w:spacing w:before="0" w:beforeAutospacing="0" w:after="0" w:afterAutospacing="0"/>
        <w:ind w:hanging="360"/>
        <w:textAlignment w:val="baseline"/>
        <w:rPr>
          <w:rFonts w:ascii="inherit" w:hAnsi="inherit"/>
          <w:color w:val="353535"/>
          <w:sz w:val="20"/>
          <w:szCs w:val="20"/>
        </w:rPr>
      </w:pPr>
      <w:r>
        <w:rPr>
          <w:rFonts w:ascii="inherit" w:hAnsi="inherit"/>
          <w:color w:val="000000"/>
          <w:sz w:val="20"/>
          <w:szCs w:val="20"/>
          <w:bdr w:val="none" w:sz="0" w:space="0" w:color="auto" w:frame="1"/>
        </w:rPr>
        <w:t>·</w:t>
      </w:r>
      <w:r>
        <w:rPr>
          <w:color w:val="000000"/>
          <w:sz w:val="14"/>
          <w:szCs w:val="14"/>
          <w:bdr w:val="none" w:sz="0" w:space="0" w:color="auto" w:frame="1"/>
        </w:rPr>
        <w:t>       </w:t>
      </w:r>
      <w:r>
        <w:rPr>
          <w:rFonts w:ascii="Arial" w:hAnsi="Arial" w:cs="Arial"/>
          <w:color w:val="000000"/>
          <w:sz w:val="20"/>
          <w:szCs w:val="20"/>
          <w:bdr w:val="none" w:sz="0" w:space="0" w:color="auto" w:frame="1"/>
        </w:rPr>
        <w:t>Each position at Avient focuses on eight Core Competencies as a Leader of Self.  Additionally, management positions focus on Leadership Competencies as a Leader of Others and/or a Leader of the Business.  These competencies are designed to drive behavior that will ultimately help our associates excel at their current roles, while supporting individual and career development.</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Physical Demands</w:t>
      </w:r>
    </w:p>
    <w:p w:rsidR="00360312" w:rsidRDefault="00360312" w:rsidP="00360312">
      <w:pPr>
        <w:pStyle w:val="ListParagraph"/>
        <w:shd w:val="clear" w:color="auto" w:fill="FFFFFF"/>
        <w:spacing w:before="0" w:beforeAutospacing="0" w:after="0" w:afterAutospacing="0"/>
        <w:ind w:hanging="360"/>
        <w:textAlignment w:val="baseline"/>
        <w:rPr>
          <w:rFonts w:ascii="inherit" w:hAnsi="inherit"/>
          <w:color w:val="353535"/>
          <w:sz w:val="20"/>
          <w:szCs w:val="20"/>
        </w:rPr>
      </w:pPr>
      <w:r>
        <w:rPr>
          <w:rFonts w:ascii="inherit" w:hAnsi="inherit"/>
          <w:color w:val="333333"/>
          <w:sz w:val="20"/>
          <w:szCs w:val="20"/>
          <w:bdr w:val="none" w:sz="0" w:space="0" w:color="auto" w:frame="1"/>
        </w:rPr>
        <w:t>·</w:t>
      </w:r>
      <w:r>
        <w:rPr>
          <w:color w:val="333333"/>
          <w:sz w:val="14"/>
          <w:szCs w:val="14"/>
          <w:bdr w:val="none" w:sz="0" w:space="0" w:color="auto" w:frame="1"/>
        </w:rPr>
        <w:t>       </w:t>
      </w:r>
      <w:r>
        <w:rPr>
          <w:rFonts w:ascii="Arial" w:hAnsi="Arial" w:cs="Arial"/>
          <w:color w:val="353535"/>
          <w:sz w:val="20"/>
          <w:szCs w:val="20"/>
          <w:bdr w:val="none" w:sz="0" w:space="0" w:color="auto" w:frame="1"/>
        </w:rPr>
        <w:t>Click here to enter the physical demands of the position that must be met by an employee to successfully perform all essentials duties and responsibilities of the job.</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 </w:t>
      </w:r>
    </w:p>
    <w:p w:rsidR="00360312" w:rsidRDefault="00360312" w:rsidP="00360312">
      <w:pPr>
        <w:shd w:val="clear" w:color="auto" w:fill="FFFFFF"/>
        <w:textAlignment w:val="baseline"/>
        <w:rPr>
          <w:rFonts w:ascii="inherit" w:hAnsi="inherit"/>
          <w:color w:val="353535"/>
          <w:sz w:val="20"/>
          <w:szCs w:val="20"/>
        </w:rPr>
      </w:pPr>
      <w:r>
        <w:rPr>
          <w:rFonts w:ascii="Arial" w:hAnsi="Arial" w:cs="Arial"/>
          <w:b/>
          <w:bCs/>
          <w:color w:val="333333"/>
          <w:sz w:val="20"/>
          <w:szCs w:val="20"/>
          <w:bdr w:val="none" w:sz="0" w:space="0" w:color="auto" w:frame="1"/>
        </w:rPr>
        <w:t>EH&amp;S Requirements</w:t>
      </w:r>
    </w:p>
    <w:p w:rsidR="00360312" w:rsidRDefault="00360312" w:rsidP="00360312">
      <w:pPr>
        <w:pStyle w:val="ListParagraph"/>
        <w:shd w:val="clear" w:color="auto" w:fill="FFFFFF"/>
        <w:spacing w:before="0" w:beforeAutospacing="0" w:after="0" w:afterAutospacing="0"/>
        <w:ind w:hanging="360"/>
        <w:textAlignment w:val="baseline"/>
        <w:rPr>
          <w:rFonts w:ascii="inherit" w:hAnsi="inherit"/>
          <w:color w:val="353535"/>
          <w:sz w:val="20"/>
          <w:szCs w:val="20"/>
        </w:rPr>
      </w:pPr>
      <w:r>
        <w:rPr>
          <w:rFonts w:ascii="inherit" w:hAnsi="inherit"/>
          <w:color w:val="333333"/>
          <w:sz w:val="20"/>
          <w:szCs w:val="20"/>
          <w:bdr w:val="none" w:sz="0" w:space="0" w:color="auto" w:frame="1"/>
        </w:rPr>
        <w:t>·</w:t>
      </w:r>
      <w:r>
        <w:rPr>
          <w:color w:val="333333"/>
          <w:sz w:val="14"/>
          <w:szCs w:val="14"/>
          <w:bdr w:val="none" w:sz="0" w:space="0" w:color="auto" w:frame="1"/>
        </w:rPr>
        <w:t>       </w:t>
      </w:r>
      <w:r>
        <w:rPr>
          <w:rFonts w:ascii="Arial" w:hAnsi="Arial" w:cs="Arial"/>
          <w:color w:val="353535"/>
          <w:sz w:val="20"/>
          <w:szCs w:val="20"/>
          <w:bdr w:val="none" w:sz="0" w:space="0" w:color="auto" w:frame="1"/>
        </w:rPr>
        <w:t>Avient integrates safety into all aspects of our operations. Each position at Avient is responsible for complying with all applicable environmental, health and safety requirements. Additionally, employees and management are responsible for reporting all EH&amp;S incidents immediately to ensure we keep safety a priority within the organization. </w:t>
      </w:r>
    </w:p>
    <w:p w:rsidR="00360312" w:rsidRDefault="00360312" w:rsidP="00360312">
      <w:r>
        <w:rPr>
          <w:rFonts w:ascii="Arial" w:hAnsi="Arial" w:cs="Arial"/>
          <w:color w:val="353535"/>
          <w:sz w:val="20"/>
          <w:szCs w:val="20"/>
          <w:bdr w:val="none" w:sz="0" w:space="0" w:color="auto" w:frame="1"/>
          <w:lang w:val="en"/>
        </w:rPr>
        <w:t xml:space="preserve">Avient Corporation is a drug free workplace.  Avient is an equal opportunity employer. We maintain a policy of non-discrimination in providing equal employment to all qualified employees and candidates </w:t>
      </w:r>
      <w:r>
        <w:rPr>
          <w:rFonts w:ascii="Arial" w:hAnsi="Arial" w:cs="Arial"/>
          <w:color w:val="353535"/>
          <w:sz w:val="20"/>
          <w:szCs w:val="20"/>
          <w:bdr w:val="none" w:sz="0" w:space="0" w:color="auto" w:frame="1"/>
          <w:lang w:val="en"/>
        </w:rPr>
        <w:lastRenderedPageBreak/>
        <w:t>regardless of race, sex, sexual orientation, gender identity, age, color, religion, national origin, disability, genetic information, protected veteran’s status, or other legally protected classification in accordance with applicable federal, state and local law. #LI-CB1</w:t>
      </w:r>
    </w:p>
    <w:sectPr w:rsidR="003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12"/>
    <w:rsid w:val="001726EB"/>
    <w:rsid w:val="0036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E9DF"/>
  <w15:chartTrackingRefBased/>
  <w15:docId w15:val="{690783FC-6671-4A51-945C-4F09FCE0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0312"/>
    <w:pPr>
      <w:keepNext/>
      <w:spacing w:before="240" w:after="0" w:line="240" w:lineRule="auto"/>
      <w:outlineLvl w:val="0"/>
    </w:pPr>
    <w:rPr>
      <w:rFonts w:ascii="Calibri Light" w:hAnsi="Calibri Light" w:cs="Calibri Light"/>
      <w:color w:val="2E74B5"/>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312"/>
    <w:rPr>
      <w:rFonts w:ascii="Calibri Light" w:hAnsi="Calibri Light" w:cs="Calibri Light"/>
      <w:color w:val="2E74B5"/>
      <w:kern w:val="36"/>
      <w:sz w:val="32"/>
      <w:szCs w:val="32"/>
    </w:rPr>
  </w:style>
  <w:style w:type="character" w:styleId="Hyperlink">
    <w:name w:val="Hyperlink"/>
    <w:basedOn w:val="DefaultParagraphFont"/>
    <w:uiPriority w:val="99"/>
    <w:semiHidden/>
    <w:unhideWhenUsed/>
    <w:rsid w:val="00360312"/>
    <w:rPr>
      <w:color w:val="0563C1"/>
      <w:u w:val="single"/>
    </w:rPr>
  </w:style>
  <w:style w:type="paragraph" w:styleId="NormalWeb">
    <w:name w:val="Normal (Web)"/>
    <w:basedOn w:val="Normal"/>
    <w:uiPriority w:val="99"/>
    <w:semiHidden/>
    <w:unhideWhenUsed/>
    <w:rsid w:val="0036031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360312"/>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uiPriority w:val="99"/>
    <w:semiHidden/>
    <w:rsid w:val="00360312"/>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36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8198">
      <w:bodyDiv w:val="1"/>
      <w:marLeft w:val="0"/>
      <w:marRight w:val="0"/>
      <w:marTop w:val="0"/>
      <w:marBottom w:val="0"/>
      <w:divBdr>
        <w:top w:val="none" w:sz="0" w:space="0" w:color="auto"/>
        <w:left w:val="none" w:sz="0" w:space="0" w:color="auto"/>
        <w:bottom w:val="none" w:sz="0" w:space="0" w:color="auto"/>
        <w:right w:val="none" w:sz="0" w:space="0" w:color="auto"/>
      </w:divBdr>
    </w:div>
    <w:div w:id="8033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vi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Andrew  (US-POC1)</dc:creator>
  <cp:keywords/>
  <dc:description/>
  <cp:lastModifiedBy>Robison, Andrew  (US-POC1)</cp:lastModifiedBy>
  <cp:revision>1</cp:revision>
  <dcterms:created xsi:type="dcterms:W3CDTF">2023-09-25T15:02:00Z</dcterms:created>
  <dcterms:modified xsi:type="dcterms:W3CDTF">2023-09-25T15:03:00Z</dcterms:modified>
</cp:coreProperties>
</file>