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020"/>
        <w:gridCol w:w="4701"/>
      </w:tblGrid>
      <w:tr w:rsidR="00DC7EF8" w:rsidRPr="00183BE8" w14:paraId="42274972" w14:textId="77777777" w:rsidTr="001E373E">
        <w:trPr>
          <w:trHeight w:val="282"/>
        </w:trPr>
        <w:tc>
          <w:tcPr>
            <w:tcW w:w="2020" w:type="dxa"/>
            <w:shd w:val="clear" w:color="auto" w:fill="auto"/>
            <w:vAlign w:val="center"/>
          </w:tcPr>
          <w:p w14:paraId="7B9B6844" w14:textId="77777777" w:rsidR="00DC7EF8" w:rsidRPr="00183BE8" w:rsidRDefault="00DC7EF8" w:rsidP="001E373E">
            <w:pPr>
              <w:spacing w:after="0" w:line="240" w:lineRule="exact"/>
              <w:rPr>
                <w:rFonts w:ascii="Arial" w:eastAsia="Times New Roman" w:hAnsi="Arial" w:cs="Arial"/>
                <w:b/>
                <w:bCs/>
                <w:sz w:val="19"/>
                <w:szCs w:val="19"/>
                <w:lang w:val="en"/>
              </w:rPr>
            </w:pPr>
            <w:r w:rsidRPr="00183BE8">
              <w:rPr>
                <w:rFonts w:ascii="Arial" w:eastAsia="Times New Roman" w:hAnsi="Arial" w:cs="Arial"/>
                <w:b/>
                <w:bCs/>
                <w:sz w:val="19"/>
                <w:szCs w:val="19"/>
                <w:lang w:val="en"/>
              </w:rPr>
              <w:t>REQ NO:</w:t>
            </w:r>
            <w:r>
              <w:rPr>
                <w:rFonts w:ascii="Arial" w:eastAsia="Times New Roman" w:hAnsi="Arial" w:cs="Arial"/>
                <w:b/>
                <w:bCs/>
                <w:sz w:val="19"/>
                <w:szCs w:val="19"/>
                <w:lang w:val="en"/>
              </w:rPr>
              <w:t xml:space="preserve"> </w:t>
            </w:r>
          </w:p>
        </w:tc>
        <w:tc>
          <w:tcPr>
            <w:tcW w:w="4701" w:type="dxa"/>
            <w:shd w:val="clear" w:color="auto" w:fill="auto"/>
            <w:vAlign w:val="center"/>
          </w:tcPr>
          <w:p w14:paraId="13FBE906" w14:textId="0D27D3D6" w:rsidR="00DC7EF8" w:rsidRPr="00183BE8" w:rsidRDefault="002256EA" w:rsidP="001E373E">
            <w:pPr>
              <w:spacing w:after="0" w:line="240" w:lineRule="exact"/>
              <w:rPr>
                <w:rFonts w:ascii="Arial" w:eastAsia="Times New Roman" w:hAnsi="Arial" w:cs="Arial"/>
                <w:b/>
                <w:bCs/>
                <w:sz w:val="19"/>
                <w:szCs w:val="19"/>
                <w:lang w:val="en"/>
              </w:rPr>
            </w:pPr>
            <w:r>
              <w:rPr>
                <w:rFonts w:ascii="Arial" w:eastAsia="Times New Roman" w:hAnsi="Arial" w:cs="Arial"/>
                <w:b/>
                <w:bCs/>
                <w:sz w:val="19"/>
                <w:szCs w:val="19"/>
                <w:lang w:val="en"/>
              </w:rPr>
              <w:t>925</w:t>
            </w:r>
          </w:p>
        </w:tc>
      </w:tr>
      <w:tr w:rsidR="00DC7EF8" w:rsidRPr="00183BE8" w14:paraId="2949D228" w14:textId="77777777" w:rsidTr="001E373E">
        <w:trPr>
          <w:trHeight w:val="235"/>
        </w:trPr>
        <w:tc>
          <w:tcPr>
            <w:tcW w:w="2020" w:type="dxa"/>
            <w:shd w:val="clear" w:color="auto" w:fill="auto"/>
            <w:vAlign w:val="center"/>
          </w:tcPr>
          <w:p w14:paraId="78397214" w14:textId="77777777" w:rsidR="00DC7EF8" w:rsidRPr="00183BE8" w:rsidRDefault="00DC7EF8" w:rsidP="001E373E">
            <w:pPr>
              <w:spacing w:after="0" w:line="240" w:lineRule="exact"/>
              <w:rPr>
                <w:rFonts w:ascii="Arial" w:eastAsia="Times New Roman" w:hAnsi="Arial" w:cs="Arial"/>
                <w:b/>
                <w:bCs/>
                <w:sz w:val="19"/>
                <w:szCs w:val="19"/>
                <w:lang w:val="en"/>
              </w:rPr>
            </w:pPr>
            <w:r w:rsidRPr="1ED9A8F8">
              <w:rPr>
                <w:rFonts w:ascii="Arial" w:eastAsia="Times New Roman" w:hAnsi="Arial" w:cs="Arial"/>
                <w:b/>
                <w:bCs/>
                <w:sz w:val="19"/>
                <w:szCs w:val="19"/>
                <w:lang w:val="en"/>
              </w:rPr>
              <w:t xml:space="preserve">JOB TITLE: </w:t>
            </w:r>
          </w:p>
        </w:tc>
        <w:tc>
          <w:tcPr>
            <w:tcW w:w="4701" w:type="dxa"/>
            <w:shd w:val="clear" w:color="auto" w:fill="auto"/>
            <w:vAlign w:val="center"/>
          </w:tcPr>
          <w:p w14:paraId="4EDA5709" w14:textId="027A556E" w:rsidR="00DC7EF8" w:rsidRPr="00183BE8" w:rsidRDefault="002256EA" w:rsidP="001E373E">
            <w:pPr>
              <w:spacing w:after="0" w:line="240" w:lineRule="exact"/>
              <w:rPr>
                <w:rFonts w:ascii="Arial" w:eastAsia="Times New Roman" w:hAnsi="Arial" w:cs="Arial"/>
                <w:b/>
                <w:bCs/>
                <w:sz w:val="19"/>
                <w:szCs w:val="19"/>
                <w:lang w:val="en"/>
              </w:rPr>
            </w:pPr>
            <w:r>
              <w:rPr>
                <w:rFonts w:ascii="Arial" w:eastAsia="Times New Roman" w:hAnsi="Arial" w:cs="Arial"/>
                <w:b/>
                <w:bCs/>
                <w:sz w:val="19"/>
                <w:szCs w:val="19"/>
                <w:lang w:val="en"/>
              </w:rPr>
              <w:t xml:space="preserve">Trade Compliance Analyst I </w:t>
            </w:r>
          </w:p>
        </w:tc>
      </w:tr>
      <w:tr w:rsidR="00DC7EF8" w:rsidRPr="00183BE8" w14:paraId="30D10D19" w14:textId="77777777" w:rsidTr="001E373E">
        <w:trPr>
          <w:trHeight w:val="235"/>
        </w:trPr>
        <w:tc>
          <w:tcPr>
            <w:tcW w:w="2020" w:type="dxa"/>
            <w:shd w:val="clear" w:color="auto" w:fill="auto"/>
            <w:vAlign w:val="center"/>
          </w:tcPr>
          <w:p w14:paraId="101012DD" w14:textId="77777777" w:rsidR="00DC7EF8" w:rsidRPr="00183BE8" w:rsidRDefault="00DC7EF8" w:rsidP="001E373E">
            <w:pPr>
              <w:spacing w:after="0" w:line="240" w:lineRule="exact"/>
              <w:rPr>
                <w:rFonts w:ascii="Arial" w:eastAsia="Times New Roman" w:hAnsi="Arial" w:cs="Arial"/>
                <w:b/>
                <w:bCs/>
                <w:sz w:val="19"/>
                <w:szCs w:val="19"/>
                <w:lang w:val="en"/>
              </w:rPr>
            </w:pPr>
            <w:r w:rsidRPr="00183BE8">
              <w:rPr>
                <w:rFonts w:ascii="Arial" w:eastAsia="Times New Roman" w:hAnsi="Arial" w:cs="Arial"/>
                <w:b/>
                <w:bCs/>
                <w:sz w:val="19"/>
                <w:szCs w:val="19"/>
                <w:lang w:val="en"/>
              </w:rPr>
              <w:t>COMPANY:</w:t>
            </w:r>
          </w:p>
        </w:tc>
        <w:tc>
          <w:tcPr>
            <w:tcW w:w="4701" w:type="dxa"/>
            <w:shd w:val="clear" w:color="auto" w:fill="auto"/>
            <w:vAlign w:val="center"/>
          </w:tcPr>
          <w:p w14:paraId="53B062F4" w14:textId="1167FC31" w:rsidR="00DC7EF8" w:rsidRPr="00183BE8" w:rsidRDefault="0098785E" w:rsidP="001E373E">
            <w:pPr>
              <w:spacing w:after="0" w:line="240" w:lineRule="exact"/>
              <w:rPr>
                <w:rFonts w:ascii="Arial" w:eastAsia="Times New Roman" w:hAnsi="Arial" w:cs="Arial"/>
                <w:b/>
                <w:bCs/>
                <w:sz w:val="19"/>
                <w:szCs w:val="19"/>
                <w:lang w:val="en"/>
              </w:rPr>
            </w:pPr>
            <w:r>
              <w:rPr>
                <w:rFonts w:ascii="Arial" w:eastAsia="Times New Roman" w:hAnsi="Arial" w:cs="Arial"/>
                <w:b/>
                <w:bCs/>
                <w:sz w:val="19"/>
                <w:szCs w:val="19"/>
                <w:lang w:val="en"/>
              </w:rPr>
              <w:t>Aramco Americas</w:t>
            </w:r>
          </w:p>
        </w:tc>
      </w:tr>
      <w:tr w:rsidR="00DC7EF8" w:rsidRPr="00183BE8" w14:paraId="066B7153" w14:textId="77777777" w:rsidTr="001E373E">
        <w:trPr>
          <w:trHeight w:val="235"/>
        </w:trPr>
        <w:tc>
          <w:tcPr>
            <w:tcW w:w="2020" w:type="dxa"/>
            <w:shd w:val="clear" w:color="auto" w:fill="auto"/>
            <w:vAlign w:val="center"/>
          </w:tcPr>
          <w:p w14:paraId="5EF0457B" w14:textId="77777777" w:rsidR="00DC7EF8" w:rsidRPr="00183BE8" w:rsidRDefault="00DC7EF8" w:rsidP="001E373E">
            <w:pPr>
              <w:spacing w:after="0" w:line="240" w:lineRule="exact"/>
              <w:rPr>
                <w:rFonts w:ascii="Arial" w:eastAsia="Times New Roman" w:hAnsi="Arial" w:cs="Arial"/>
                <w:b/>
                <w:bCs/>
                <w:sz w:val="19"/>
                <w:szCs w:val="19"/>
                <w:lang w:val="en"/>
              </w:rPr>
            </w:pPr>
            <w:r w:rsidRPr="00183BE8">
              <w:rPr>
                <w:rFonts w:ascii="Arial" w:eastAsia="Times New Roman" w:hAnsi="Arial" w:cs="Arial"/>
                <w:b/>
                <w:bCs/>
                <w:sz w:val="19"/>
                <w:szCs w:val="19"/>
                <w:lang w:val="en"/>
              </w:rPr>
              <w:t>DEPARTMENT:</w:t>
            </w:r>
          </w:p>
        </w:tc>
        <w:tc>
          <w:tcPr>
            <w:tcW w:w="4701" w:type="dxa"/>
            <w:shd w:val="clear" w:color="auto" w:fill="auto"/>
            <w:vAlign w:val="center"/>
          </w:tcPr>
          <w:p w14:paraId="42A671E0" w14:textId="579ECDAC" w:rsidR="00DC7EF8" w:rsidRPr="00183BE8" w:rsidRDefault="00CB0077" w:rsidP="001E373E">
            <w:pPr>
              <w:spacing w:after="0" w:line="240" w:lineRule="exact"/>
              <w:rPr>
                <w:rFonts w:ascii="Arial" w:eastAsia="Times New Roman" w:hAnsi="Arial" w:cs="Arial"/>
                <w:b/>
                <w:bCs/>
                <w:sz w:val="19"/>
                <w:szCs w:val="19"/>
                <w:lang w:val="en"/>
              </w:rPr>
            </w:pPr>
            <w:r>
              <w:rPr>
                <w:rFonts w:ascii="Arial" w:eastAsia="Times New Roman" w:hAnsi="Arial" w:cs="Arial"/>
                <w:b/>
                <w:bCs/>
                <w:sz w:val="19"/>
                <w:szCs w:val="19"/>
                <w:lang w:val="en"/>
              </w:rPr>
              <w:t xml:space="preserve">Travel &amp; Trade Compliance </w:t>
            </w:r>
          </w:p>
        </w:tc>
      </w:tr>
    </w:tbl>
    <w:p w14:paraId="2C315520" w14:textId="77777777" w:rsidR="00DC7EF8" w:rsidRDefault="00DC7EF8" w:rsidP="00F352DF">
      <w:pPr>
        <w:spacing w:before="240" w:after="240" w:line="240" w:lineRule="auto"/>
        <w:rPr>
          <w:rStyle w:val="Strong"/>
          <w:bCs w:val="0"/>
        </w:rPr>
      </w:pPr>
    </w:p>
    <w:p w14:paraId="67A14B77" w14:textId="0A564F6A" w:rsidR="007124A7" w:rsidRDefault="00915F4D" w:rsidP="00F352DF">
      <w:pPr>
        <w:spacing w:before="240" w:after="240" w:line="240" w:lineRule="auto"/>
        <w:rPr>
          <w:rStyle w:val="Strong"/>
          <w:bCs w:val="0"/>
        </w:rPr>
      </w:pPr>
      <w:r>
        <w:rPr>
          <w:rStyle w:val="Strong"/>
          <w:bCs w:val="0"/>
        </w:rPr>
        <w:t>Basic Function</w:t>
      </w:r>
      <w:r w:rsidR="008856A4">
        <w:rPr>
          <w:rStyle w:val="Strong"/>
          <w:bCs w:val="0"/>
        </w:rPr>
        <w:t xml:space="preserve"> </w:t>
      </w:r>
    </w:p>
    <w:p w14:paraId="0DD036B7" w14:textId="38F473D5" w:rsidR="00EB0A8D" w:rsidRDefault="00B929D6" w:rsidP="00EB0A8D">
      <w:pPr>
        <w:pStyle w:val="PlainText"/>
      </w:pPr>
      <w:r w:rsidRPr="00B929D6">
        <w:t xml:space="preserve">Provides comprehensive internal export guidance, </w:t>
      </w:r>
      <w:r w:rsidR="00D505E2" w:rsidRPr="00B929D6">
        <w:t>expertise,</w:t>
      </w:r>
      <w:r w:rsidRPr="00B929D6">
        <w:t xml:space="preserve"> and analysis for programs within the Aramco Services Company (ASC) Procurement &amp; Logistics Department (P&amp;LD).  Trains personnel to further ASC’s trade compliance initiatives and works with third parties to ensure all materials, equipment and technology are properly classified and licensed prior to export from or import to the United States.</w:t>
      </w:r>
    </w:p>
    <w:p w14:paraId="5900128E" w14:textId="77777777" w:rsidR="007E61E0" w:rsidRDefault="007E61E0" w:rsidP="00EB0A8D">
      <w:pPr>
        <w:pStyle w:val="PlainText"/>
      </w:pPr>
    </w:p>
    <w:p w14:paraId="1F688D1E" w14:textId="0084D689" w:rsidR="00672C58" w:rsidRDefault="008A21C7" w:rsidP="00F352DF">
      <w:pPr>
        <w:spacing w:before="240" w:after="240" w:line="240" w:lineRule="auto"/>
        <w:rPr>
          <w:rStyle w:val="Strong"/>
        </w:rPr>
      </w:pPr>
      <w:r w:rsidRPr="00183BE8">
        <w:rPr>
          <w:rStyle w:val="Strong"/>
          <w:bCs w:val="0"/>
        </w:rPr>
        <w:t>Duties</w:t>
      </w:r>
      <w:r>
        <w:rPr>
          <w:rStyle w:val="Strong"/>
        </w:rPr>
        <w:t xml:space="preserve"> &amp; Responsibilities</w:t>
      </w:r>
      <w:r w:rsidR="00086BC8">
        <w:rPr>
          <w:rStyle w:val="Strong"/>
        </w:rPr>
        <w:t xml:space="preserve"> </w:t>
      </w:r>
    </w:p>
    <w:p w14:paraId="0A945BA2" w14:textId="79ECE16B"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Assigns and/or reviews all export classifications (ECCN) and HTS codes, including those made by third parties for goods and services exported by ASC.  Provides classifications for items and ensures all items procured by the ASC Procurement Planners receive a classification review prior to export.  Oversees the export control classification matrix and/or database.   Reviews, determines ECCN and HTS Classifications and provides Aramco Saudi Arabia with approval for release of all import shipments.   </w:t>
      </w:r>
    </w:p>
    <w:p w14:paraId="788C044E" w14:textId="4846B2CD"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Coordinates with the ASC appointed U.S. Customs Broker to ensure that all entries are filed accurately and in a timely manner meeting all of the requirements of other government agencies during the importation process. </w:t>
      </w:r>
    </w:p>
    <w:p w14:paraId="2E8E15DB" w14:textId="5BB0A908"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Conducts thorough transactional reviews of controlled materials, equipment, </w:t>
      </w:r>
      <w:r w:rsidR="00D505E2" w:rsidRPr="001862A2">
        <w:rPr>
          <w:rFonts w:eastAsia="Times New Roman" w:cs="Calibri"/>
          <w:color w:val="000000"/>
        </w:rPr>
        <w:t>services,</w:t>
      </w:r>
      <w:r w:rsidRPr="001862A2">
        <w:rPr>
          <w:rFonts w:eastAsia="Times New Roman" w:cs="Calibri"/>
          <w:color w:val="000000"/>
        </w:rPr>
        <w:t xml:space="preserve"> or technology to determine and document Dept. of State and Commerce exemption/exception applicability.  Prepares reports as needed to meet regulatory requirements.  </w:t>
      </w:r>
    </w:p>
    <w:p w14:paraId="1BE92D3B" w14:textId="5BDFEFA3"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Determines requirements for and prepares Department Commerce license/agreements for a variety of materials, equipment, and/or technology, and ongoing program activities.  Monitors compliance with export license conditions and ensures that no items requiring an export license are shipped without proper authority.   </w:t>
      </w:r>
    </w:p>
    <w:p w14:paraId="5B78EC86" w14:textId="1C9A05DF"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Conducts and/or assists with Commodity Jurisdiction and Classification analysis and determinations.  </w:t>
      </w:r>
    </w:p>
    <w:p w14:paraId="4916C472" w14:textId="1173A552"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Conducts timely analysis assuring trade compliance through gate reviews for technical data, and contracts.  Advises Trade Compliance leads of any discrepant or non-compliant issues.  </w:t>
      </w:r>
    </w:p>
    <w:p w14:paraId="097B153F" w14:textId="59C35E4C"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Maintains export authorizations through their life cycle and maintains all documentation and trade compliance data for ASC in accordance with regulatory requirements. Assists with ASC SAP trade compliance automation initiatives to maximize automation of import and export transactions within SAP for trade compliance purposes.   </w:t>
      </w:r>
    </w:p>
    <w:p w14:paraId="51EABE78" w14:textId="77777777"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Responds to inquiries from ASC P&amp;L, freight forwarders and customs brokers regarding HTS and Schedule B classification, ECCN classifications, documentation requirements and other export regulations to ensure timely clearance. </w:t>
      </w:r>
    </w:p>
    <w:p w14:paraId="3599DE5B" w14:textId="22271EBF"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Supports Trade Compliance Team in investigating and resolving compliance problems, </w:t>
      </w:r>
      <w:r w:rsidR="00D505E2" w:rsidRPr="001862A2">
        <w:rPr>
          <w:rFonts w:eastAsia="Times New Roman" w:cs="Calibri"/>
          <w:color w:val="000000"/>
        </w:rPr>
        <w:t>questions,</w:t>
      </w:r>
      <w:r w:rsidRPr="001862A2">
        <w:rPr>
          <w:rFonts w:eastAsia="Times New Roman" w:cs="Calibri"/>
          <w:color w:val="000000"/>
        </w:rPr>
        <w:t xml:space="preserve"> or complaints.</w:t>
      </w:r>
    </w:p>
    <w:p w14:paraId="6AF41DF3" w14:textId="5217FC2D"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lastRenderedPageBreak/>
        <w:t>Assists</w:t>
      </w:r>
      <w:r w:rsidR="00D505E2">
        <w:rPr>
          <w:rFonts w:eastAsia="Times New Roman" w:cs="Calibri"/>
          <w:color w:val="000000"/>
        </w:rPr>
        <w:t xml:space="preserve"> and conducts </w:t>
      </w:r>
      <w:r w:rsidRPr="001862A2">
        <w:rPr>
          <w:rFonts w:eastAsia="Times New Roman" w:cs="Calibri"/>
          <w:color w:val="000000"/>
        </w:rPr>
        <w:t>export and import compliance training</w:t>
      </w:r>
      <w:r w:rsidR="00D505E2">
        <w:rPr>
          <w:rFonts w:eastAsia="Times New Roman" w:cs="Calibri"/>
          <w:color w:val="000000"/>
        </w:rPr>
        <w:t xml:space="preserve"> with </w:t>
      </w:r>
      <w:r w:rsidR="00D505E2" w:rsidRPr="001862A2">
        <w:rPr>
          <w:rFonts w:eastAsia="Times New Roman" w:cs="Calibri"/>
          <w:color w:val="000000"/>
        </w:rPr>
        <w:t xml:space="preserve">functional </w:t>
      </w:r>
      <w:r w:rsidR="00D505E2">
        <w:rPr>
          <w:rFonts w:eastAsia="Times New Roman" w:cs="Calibri"/>
          <w:color w:val="000000"/>
        </w:rPr>
        <w:t xml:space="preserve">focus.  </w:t>
      </w:r>
      <w:r w:rsidRPr="001862A2">
        <w:rPr>
          <w:rFonts w:eastAsia="Times New Roman" w:cs="Calibri"/>
          <w:color w:val="000000"/>
        </w:rPr>
        <w:t>Assists with design and preparation of compliance training materials to further trade compliance initiatives within ASC.</w:t>
      </w:r>
    </w:p>
    <w:p w14:paraId="322DEBC3" w14:textId="77777777"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Prepares and/or assists in the preparation and/or oversight/monitoring of ASC export/import declarations to ensure ASC compliance with US trade regulations.</w:t>
      </w:r>
    </w:p>
    <w:p w14:paraId="26BA74AE" w14:textId="77777777"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Assists with proper record keeping procedures for import/ export records consistent with US Trade Regulations and conducts monitoring controls on same.  Develops and maintains desk procedures or work instructions related to U.S. exports to ensure compliance with U.S. trade regulations.</w:t>
      </w:r>
    </w:p>
    <w:p w14:paraId="5A1AECB5" w14:textId="21A2EFDB"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 xml:space="preserve">Works with the Trade Compliance </w:t>
      </w:r>
      <w:r w:rsidR="00D505E2">
        <w:rPr>
          <w:rFonts w:eastAsia="Times New Roman" w:cs="Calibri"/>
          <w:color w:val="000000"/>
        </w:rPr>
        <w:t xml:space="preserve">Manager </w:t>
      </w:r>
      <w:r w:rsidRPr="001862A2">
        <w:rPr>
          <w:rFonts w:eastAsia="Times New Roman" w:cs="Calibri"/>
          <w:color w:val="000000"/>
        </w:rPr>
        <w:t xml:space="preserve">and P&amp;L key stakeholders to establish business processes for submitting to and obtaining from the U.S. government all necessary export and import licenses, permits, certifications, and technology release determinations. </w:t>
      </w:r>
    </w:p>
    <w:p w14:paraId="55F7D01E" w14:textId="77777777" w:rsidR="001862A2" w:rsidRPr="001862A2" w:rsidRDefault="001862A2" w:rsidP="001862A2">
      <w:pPr>
        <w:numPr>
          <w:ilvl w:val="0"/>
          <w:numId w:val="38"/>
        </w:numPr>
        <w:shd w:val="clear" w:color="auto" w:fill="FFFFFF"/>
        <w:spacing w:after="0" w:line="240" w:lineRule="auto"/>
        <w:rPr>
          <w:rFonts w:eastAsia="Times New Roman" w:cs="Calibri"/>
          <w:color w:val="000000"/>
        </w:rPr>
      </w:pPr>
      <w:r w:rsidRPr="001862A2">
        <w:rPr>
          <w:rFonts w:eastAsia="Times New Roman" w:cs="Calibri"/>
          <w:color w:val="000000"/>
        </w:rPr>
        <w:t>Performs other duties and participates in special projects as assigned.</w:t>
      </w:r>
    </w:p>
    <w:p w14:paraId="0B20F3A9" w14:textId="23B0C122" w:rsidR="007E61E0" w:rsidRDefault="007E61E0" w:rsidP="001862A2">
      <w:pPr>
        <w:shd w:val="clear" w:color="auto" w:fill="FFFFFF"/>
        <w:spacing w:after="0" w:line="240" w:lineRule="auto"/>
        <w:ind w:left="720"/>
        <w:rPr>
          <w:rFonts w:eastAsia="Times New Roman" w:cs="Calibri"/>
          <w:color w:val="000000"/>
        </w:rPr>
      </w:pPr>
    </w:p>
    <w:p w14:paraId="722933F7" w14:textId="153FE471" w:rsidR="00402DB8" w:rsidRDefault="008A21C7" w:rsidP="00F352DF">
      <w:pPr>
        <w:spacing w:before="240" w:after="240" w:line="240" w:lineRule="auto"/>
        <w:rPr>
          <w:rStyle w:val="Strong"/>
          <w:bCs w:val="0"/>
        </w:rPr>
      </w:pPr>
      <w:r w:rsidRPr="00183BE8">
        <w:rPr>
          <w:rStyle w:val="Strong"/>
          <w:bCs w:val="0"/>
        </w:rPr>
        <w:t>Education and Experience</w:t>
      </w:r>
      <w:r w:rsidR="00DF0B48">
        <w:rPr>
          <w:rStyle w:val="Strong"/>
          <w:bCs w:val="0"/>
        </w:rPr>
        <w:t xml:space="preserve"> </w:t>
      </w:r>
    </w:p>
    <w:p w14:paraId="231445D7" w14:textId="71018F09" w:rsidR="00DC042A" w:rsidRPr="00DC042A" w:rsidRDefault="001A0ACA" w:rsidP="00DC042A">
      <w:pPr>
        <w:pStyle w:val="NoSpacing"/>
        <w:numPr>
          <w:ilvl w:val="0"/>
          <w:numId w:val="40"/>
        </w:numPr>
        <w:shd w:val="clear" w:color="auto" w:fill="FFFFFF"/>
        <w:overflowPunct/>
        <w:autoSpaceDE/>
        <w:autoSpaceDN/>
        <w:adjustRightInd/>
        <w:textAlignment w:val="auto"/>
        <w:rPr>
          <w:rFonts w:ascii="72" w:hAnsi="72" w:cs="72"/>
          <w:color w:val="000000"/>
          <w:sz w:val="27"/>
          <w:szCs w:val="27"/>
        </w:rPr>
      </w:pPr>
      <w:r w:rsidRPr="001A0ACA">
        <w:rPr>
          <w:rFonts w:cs="Calibri"/>
          <w:color w:val="000000"/>
        </w:rPr>
        <w:t xml:space="preserve"> </w:t>
      </w:r>
      <w:r w:rsidR="00DC042A" w:rsidRPr="00DC042A">
        <w:rPr>
          <w:rFonts w:ascii="Calibri" w:hAnsi="Calibri" w:cs="Calibri"/>
          <w:color w:val="000000"/>
          <w:sz w:val="22"/>
          <w:szCs w:val="22"/>
        </w:rPr>
        <w:t>Bachelor’s Degree, preferably in Supply Chain Management or Logistics, or scientific/ engineering degree from an accredited university</w:t>
      </w:r>
      <w:r w:rsidR="00D505E2">
        <w:rPr>
          <w:rFonts w:ascii="Calibri" w:hAnsi="Calibri" w:cs="Calibri"/>
          <w:color w:val="000000"/>
          <w:sz w:val="22"/>
          <w:szCs w:val="22"/>
        </w:rPr>
        <w:t xml:space="preserve"> highly desired</w:t>
      </w:r>
      <w:r w:rsidR="00DC042A" w:rsidRPr="00DC042A">
        <w:rPr>
          <w:rFonts w:ascii="Calibri" w:hAnsi="Calibri" w:cs="Calibri"/>
          <w:color w:val="000000"/>
          <w:sz w:val="22"/>
          <w:szCs w:val="22"/>
        </w:rPr>
        <w:t>.   </w:t>
      </w:r>
    </w:p>
    <w:p w14:paraId="5BC80892" w14:textId="77777777" w:rsidR="00DC042A" w:rsidRPr="00DC042A" w:rsidRDefault="00DC042A" w:rsidP="00DC042A">
      <w:pPr>
        <w:numPr>
          <w:ilvl w:val="0"/>
          <w:numId w:val="40"/>
        </w:numPr>
        <w:shd w:val="clear" w:color="auto" w:fill="FFFFFF"/>
        <w:spacing w:after="0" w:line="240" w:lineRule="auto"/>
        <w:rPr>
          <w:rFonts w:eastAsia="Times New Roman" w:cs="Calibri"/>
          <w:color w:val="000000"/>
        </w:rPr>
      </w:pPr>
      <w:r w:rsidRPr="00DC042A">
        <w:rPr>
          <w:rFonts w:eastAsia="Times New Roman" w:cs="Calibri"/>
          <w:color w:val="000000"/>
        </w:rPr>
        <w:t>US Customs Broker's License, Preferred</w:t>
      </w:r>
    </w:p>
    <w:p w14:paraId="23FD9D1C"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Certified US Import Compliance Officer (CUISCO), Certified US Export Compliance Officer (CUSECO), Certified ITAR Professional (CIP), Certified International Trade Manager (CITM), or equivalent verifiable experience.</w:t>
      </w:r>
    </w:p>
    <w:p w14:paraId="53810D5E"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Excellent working knowledge of regulations that affect exports of goods from the U.S., including, but not limited to Export Administration Regulations, Foreign Trade Regulations, International Traffic in Arms Regulations and Office of Foreign Assets Controls Regulations.</w:t>
      </w:r>
    </w:p>
    <w:p w14:paraId="18EAB2F5"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Understands and interprets export licensing and export control classifications (ECCN/USML) to determine the restrictions and licensing requirements applicable.</w:t>
      </w:r>
    </w:p>
    <w:p w14:paraId="7EE01261" w14:textId="6D4014D9"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 xml:space="preserve">Sound knowledge of cargo handling procedures and ocean/air carrier capabilities and sufficient knowledge of motor, rail, </w:t>
      </w:r>
      <w:r w:rsidR="00D505E2" w:rsidRPr="00DC042A">
        <w:rPr>
          <w:rFonts w:eastAsia="Times New Roman" w:cs="Calibri"/>
          <w:color w:val="000000"/>
        </w:rPr>
        <w:t>air,</w:t>
      </w:r>
      <w:r w:rsidRPr="00DC042A">
        <w:rPr>
          <w:rFonts w:eastAsia="Times New Roman" w:cs="Calibri"/>
          <w:color w:val="000000"/>
        </w:rPr>
        <w:t xml:space="preserve"> and ocean operations to arrange for transportation of material.</w:t>
      </w:r>
    </w:p>
    <w:p w14:paraId="752E07F9"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Significant knowledge of current import and export trade compliance laws and regulations.</w:t>
      </w:r>
    </w:p>
    <w:p w14:paraId="01F4DBAA"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Familiar with “deemed export rules” and will establish, together with Human Resources and the Trade Compliance Group, proper procedures for compliance with them.</w:t>
      </w:r>
    </w:p>
    <w:p w14:paraId="299BB425"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Knowledgeable of Title 19 CFR (Customs Regulations), OFAC, DFAR, FTR, NRC and EAR.</w:t>
      </w:r>
    </w:p>
    <w:p w14:paraId="555AA970"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Knowledge of ERP computer systems (SAP preferred) and export control related computer systems.</w:t>
      </w:r>
    </w:p>
    <w:p w14:paraId="12230ECC"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Ability to:</w:t>
      </w:r>
    </w:p>
    <w:p w14:paraId="65FB6B2B" w14:textId="77777777" w:rsidR="00DC042A" w:rsidRPr="00DC042A" w:rsidRDefault="00DC042A" w:rsidP="00DC042A">
      <w:pPr>
        <w:numPr>
          <w:ilvl w:val="1"/>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meet all requirements to attain Corporate Empowered Official appointment.</w:t>
      </w:r>
    </w:p>
    <w:p w14:paraId="794B4043" w14:textId="3B6112EF" w:rsidR="00DC042A" w:rsidRPr="00DC042A" w:rsidRDefault="00DC042A" w:rsidP="00DC042A">
      <w:pPr>
        <w:numPr>
          <w:ilvl w:val="1"/>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 xml:space="preserve">independently apply for export licenses and to monitor compliance with license </w:t>
      </w:r>
      <w:r w:rsidR="00D505E2" w:rsidRPr="00DC042A">
        <w:rPr>
          <w:rFonts w:eastAsia="Times New Roman" w:cs="Calibri"/>
          <w:color w:val="000000"/>
        </w:rPr>
        <w:t>conditions and</w:t>
      </w:r>
      <w:r w:rsidRPr="00DC042A">
        <w:rPr>
          <w:rFonts w:eastAsia="Times New Roman" w:cs="Calibri"/>
          <w:color w:val="000000"/>
        </w:rPr>
        <w:t xml:space="preserve"> keep good internal records of export licenses.</w:t>
      </w:r>
    </w:p>
    <w:p w14:paraId="56ED3CE7" w14:textId="77777777" w:rsidR="00DC042A" w:rsidRPr="00DC042A" w:rsidRDefault="00DC042A" w:rsidP="00DC042A">
      <w:pPr>
        <w:numPr>
          <w:ilvl w:val="1"/>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communicate effectively and tactfully with P&amp;L staff as well as business managers and HR staff.</w:t>
      </w:r>
    </w:p>
    <w:p w14:paraId="66465FC7" w14:textId="6F50389E" w:rsidR="00DC042A" w:rsidRPr="00DC042A" w:rsidRDefault="00DC042A" w:rsidP="00DC042A">
      <w:pPr>
        <w:numPr>
          <w:ilvl w:val="1"/>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 xml:space="preserve">effectively train ASC personnel in trade compliance program, </w:t>
      </w:r>
      <w:r w:rsidR="00D505E2" w:rsidRPr="00DC042A">
        <w:rPr>
          <w:rFonts w:eastAsia="Times New Roman" w:cs="Calibri"/>
          <w:color w:val="000000"/>
        </w:rPr>
        <w:t>policies,</w:t>
      </w:r>
      <w:r w:rsidRPr="00DC042A">
        <w:rPr>
          <w:rFonts w:eastAsia="Times New Roman" w:cs="Calibri"/>
          <w:color w:val="000000"/>
        </w:rPr>
        <w:t xml:space="preserve"> and procedures.</w:t>
      </w:r>
    </w:p>
    <w:p w14:paraId="34D54AC8"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Proficient with business software applications.</w:t>
      </w:r>
    </w:p>
    <w:p w14:paraId="75A2AD4D" w14:textId="7D8284C9"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 xml:space="preserve">Typically, at least eight (8) years of experience in all phases of export trade compliance, related </w:t>
      </w:r>
      <w:r w:rsidR="00D505E2" w:rsidRPr="00DC042A">
        <w:rPr>
          <w:rFonts w:eastAsia="Times New Roman" w:cs="Calibri"/>
          <w:color w:val="000000"/>
        </w:rPr>
        <w:t>documentation,</w:t>
      </w:r>
      <w:r w:rsidRPr="00DC042A">
        <w:rPr>
          <w:rFonts w:eastAsia="Times New Roman" w:cs="Calibri"/>
          <w:color w:val="000000"/>
        </w:rPr>
        <w:t xml:space="preserve"> and systems.  Direct experience implementing company programs to comply with US trade regulations.</w:t>
      </w:r>
    </w:p>
    <w:p w14:paraId="7CDF4A38"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lastRenderedPageBreak/>
        <w:t>Typically, at least three (3) years of experience in working with a U.S. Customs Broker to arrange and coordinate the import of goods into the U.S.</w:t>
      </w:r>
    </w:p>
    <w:p w14:paraId="1D2F523D"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Typically, at least five (5) years of experience in procurement, logistics or supply chain services and related documentation and systems.  Direct work experience in supply chain and transportation.  Oil and gas industry experience preferred.</w:t>
      </w:r>
    </w:p>
    <w:p w14:paraId="3B72A66F"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Experience conducting and/or assisting with Commodity Jurisdiction and Classification determinations preferred.</w:t>
      </w:r>
    </w:p>
    <w:p w14:paraId="3867B39C" w14:textId="77777777"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Experience with exports of defense services and software preferred.</w:t>
      </w:r>
    </w:p>
    <w:p w14:paraId="7D6245DA" w14:textId="7CE0A478" w:rsidR="00DC042A" w:rsidRPr="00DC042A" w:rsidRDefault="00DC042A" w:rsidP="00DC042A">
      <w:pPr>
        <w:numPr>
          <w:ilvl w:val="0"/>
          <w:numId w:val="40"/>
        </w:numPr>
        <w:shd w:val="clear" w:color="auto" w:fill="FFFFFF"/>
        <w:spacing w:after="0" w:line="240" w:lineRule="auto"/>
        <w:rPr>
          <w:rFonts w:ascii="72" w:eastAsia="Times New Roman" w:hAnsi="72" w:cs="72"/>
          <w:color w:val="000000"/>
          <w:sz w:val="27"/>
          <w:szCs w:val="27"/>
        </w:rPr>
      </w:pPr>
      <w:r w:rsidRPr="00DC042A">
        <w:rPr>
          <w:rFonts w:eastAsia="Times New Roman" w:cs="Calibri"/>
          <w:color w:val="000000"/>
        </w:rPr>
        <w:t xml:space="preserve">Must be able to comprehend and communicate accurately, </w:t>
      </w:r>
      <w:r w:rsidR="00D505E2" w:rsidRPr="00DC042A">
        <w:rPr>
          <w:rFonts w:eastAsia="Times New Roman" w:cs="Calibri"/>
          <w:color w:val="000000"/>
        </w:rPr>
        <w:t>clearly,</w:t>
      </w:r>
      <w:r w:rsidRPr="00DC042A">
        <w:rPr>
          <w:rFonts w:eastAsia="Times New Roman" w:cs="Calibri"/>
          <w:color w:val="000000"/>
        </w:rPr>
        <w:t xml:space="preserve"> and concisely in English.</w:t>
      </w:r>
    </w:p>
    <w:p w14:paraId="3E6CCC5E" w14:textId="7646DC30" w:rsidR="000571E5" w:rsidRPr="00DC042A" w:rsidRDefault="000571E5" w:rsidP="00DC042A">
      <w:pPr>
        <w:shd w:val="clear" w:color="auto" w:fill="FFFFFF"/>
        <w:spacing w:after="0" w:line="240" w:lineRule="auto"/>
        <w:ind w:left="720"/>
        <w:rPr>
          <w:rFonts w:ascii="72" w:eastAsia="Times New Roman" w:hAnsi="72" w:cs="72"/>
          <w:color w:val="000000"/>
          <w:sz w:val="21"/>
          <w:szCs w:val="21"/>
        </w:rPr>
      </w:pPr>
    </w:p>
    <w:sectPr w:rsidR="000571E5" w:rsidRPr="00DC04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F66D" w14:textId="77777777" w:rsidR="00B52D72" w:rsidRDefault="00B52D72" w:rsidP="00D23178">
      <w:pPr>
        <w:spacing w:after="0" w:line="240" w:lineRule="auto"/>
      </w:pPr>
      <w:r>
        <w:separator/>
      </w:r>
    </w:p>
  </w:endnote>
  <w:endnote w:type="continuationSeparator" w:id="0">
    <w:p w14:paraId="089B7809" w14:textId="77777777" w:rsidR="00B52D72" w:rsidRDefault="00B52D72" w:rsidP="00D2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72">
    <w:altName w:val="Calibri"/>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AE88" w14:textId="1E86AFE0" w:rsidR="00D23178" w:rsidRDefault="00D23178">
    <w:pPr>
      <w:pStyle w:val="Footer"/>
    </w:pPr>
    <w:r>
      <w:rPr>
        <w:noProof/>
      </w:rPr>
      <mc:AlternateContent>
        <mc:Choice Requires="wps">
          <w:drawing>
            <wp:anchor distT="0" distB="0" distL="114300" distR="114300" simplePos="0" relativeHeight="251659264" behindDoc="0" locked="0" layoutInCell="0" allowOverlap="1" wp14:anchorId="3015EB2F" wp14:editId="5E3B2952">
              <wp:simplePos x="0" y="0"/>
              <wp:positionH relativeFrom="page">
                <wp:posOffset>0</wp:posOffset>
              </wp:positionH>
              <wp:positionV relativeFrom="page">
                <wp:posOffset>9594215</wp:posOffset>
              </wp:positionV>
              <wp:extent cx="7772400" cy="273050"/>
              <wp:effectExtent l="0" t="0" r="0" b="12700"/>
              <wp:wrapNone/>
              <wp:docPr id="1" name="MSIPCM963f4616ad5ada1f35d75bff" descr="{&quot;HashCode&quot;:194997755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5B4AE0" w14:textId="43ABDF15" w:rsidR="00D23178" w:rsidRPr="00D23178" w:rsidRDefault="00D23178" w:rsidP="00D23178">
                          <w:pPr>
                            <w:spacing w:after="0"/>
                            <w:jc w:val="center"/>
                            <w:rPr>
                              <w:rFonts w:cs="Calibri"/>
                              <w:color w:val="008000"/>
                              <w:sz w:val="28"/>
                            </w:rPr>
                          </w:pPr>
                          <w:r w:rsidRPr="00D23178">
                            <w:rPr>
                              <w:rFonts w:cs="Calibri"/>
                              <w:color w:val="008000"/>
                              <w:sz w:val="28"/>
                            </w:rPr>
                            <w:t>Classification: General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15EB2F" id="_x0000_t202" coordsize="21600,21600" o:spt="202" path="m,l,21600r21600,l21600,xe">
              <v:stroke joinstyle="miter"/>
              <v:path gradientshapeok="t" o:connecttype="rect"/>
            </v:shapetype>
            <v:shape id="MSIPCM963f4616ad5ada1f35d75bff" o:spid="_x0000_s1026" type="#_x0000_t202" alt="{&quot;HashCode&quot;:1949977552,&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325B4AE0" w14:textId="43ABDF15" w:rsidR="00D23178" w:rsidRPr="00D23178" w:rsidRDefault="00D23178" w:rsidP="00D23178">
                    <w:pPr>
                      <w:spacing w:after="0"/>
                      <w:jc w:val="center"/>
                      <w:rPr>
                        <w:rFonts w:cs="Calibri"/>
                        <w:color w:val="008000"/>
                        <w:sz w:val="28"/>
                      </w:rPr>
                    </w:pPr>
                    <w:r w:rsidRPr="00D23178">
                      <w:rPr>
                        <w:rFonts w:cs="Calibri"/>
                        <w:color w:val="008000"/>
                        <w:sz w:val="28"/>
                      </w:rPr>
                      <w:t>Classification: General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40863" w14:textId="77777777" w:rsidR="00B52D72" w:rsidRDefault="00B52D72" w:rsidP="00D23178">
      <w:pPr>
        <w:spacing w:after="0" w:line="240" w:lineRule="auto"/>
      </w:pPr>
      <w:r>
        <w:separator/>
      </w:r>
    </w:p>
  </w:footnote>
  <w:footnote w:type="continuationSeparator" w:id="0">
    <w:p w14:paraId="6BED290C" w14:textId="77777777" w:rsidR="00B52D72" w:rsidRDefault="00B52D72" w:rsidP="00D23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7E7"/>
    <w:multiLevelType w:val="hybridMultilevel"/>
    <w:tmpl w:val="DAAEC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222E4"/>
    <w:multiLevelType w:val="hybridMultilevel"/>
    <w:tmpl w:val="9E0C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D0F32"/>
    <w:multiLevelType w:val="singleLevel"/>
    <w:tmpl w:val="432659DE"/>
    <w:lvl w:ilvl="0">
      <w:start w:val="3"/>
      <w:numFmt w:val="upperLetter"/>
      <w:lvlText w:val="*%1."/>
      <w:legacy w:legacy="1" w:legacySpace="0" w:legacyIndent="360"/>
      <w:lvlJc w:val="left"/>
      <w:pPr>
        <w:ind w:left="360" w:hanging="360"/>
      </w:pPr>
    </w:lvl>
  </w:abstractNum>
  <w:abstractNum w:abstractNumId="3" w15:restartNumberingAfterBreak="0">
    <w:nsid w:val="0EC00A50"/>
    <w:multiLevelType w:val="hybridMultilevel"/>
    <w:tmpl w:val="B5D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6411"/>
    <w:multiLevelType w:val="hybridMultilevel"/>
    <w:tmpl w:val="48A087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5566C6"/>
    <w:multiLevelType w:val="multilevel"/>
    <w:tmpl w:val="2594E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E646A"/>
    <w:multiLevelType w:val="singleLevel"/>
    <w:tmpl w:val="20E2F4C4"/>
    <w:lvl w:ilvl="0">
      <w:start w:val="1"/>
      <w:numFmt w:val="decimal"/>
      <w:lvlText w:val="%1."/>
      <w:legacy w:legacy="1" w:legacySpace="0" w:legacyIndent="360"/>
      <w:lvlJc w:val="left"/>
      <w:pPr>
        <w:ind w:left="360" w:hanging="360"/>
      </w:pPr>
    </w:lvl>
  </w:abstractNum>
  <w:abstractNum w:abstractNumId="7" w15:restartNumberingAfterBreak="0">
    <w:nsid w:val="232278BA"/>
    <w:multiLevelType w:val="hybridMultilevel"/>
    <w:tmpl w:val="75BAC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50832"/>
    <w:multiLevelType w:val="hybridMultilevel"/>
    <w:tmpl w:val="1290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37160"/>
    <w:multiLevelType w:val="hybridMultilevel"/>
    <w:tmpl w:val="7402E0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A222CA"/>
    <w:multiLevelType w:val="multilevel"/>
    <w:tmpl w:val="CB200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718F8"/>
    <w:multiLevelType w:val="hybridMultilevel"/>
    <w:tmpl w:val="3934F51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45388"/>
    <w:multiLevelType w:val="hybridMultilevel"/>
    <w:tmpl w:val="BEA0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E0C35"/>
    <w:multiLevelType w:val="hybridMultilevel"/>
    <w:tmpl w:val="62408C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EC2BC3"/>
    <w:multiLevelType w:val="multilevel"/>
    <w:tmpl w:val="1014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5621A"/>
    <w:multiLevelType w:val="hybridMultilevel"/>
    <w:tmpl w:val="9458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E315D"/>
    <w:multiLevelType w:val="multilevel"/>
    <w:tmpl w:val="790C442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02CCE"/>
    <w:multiLevelType w:val="multilevel"/>
    <w:tmpl w:val="4BCA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D5851"/>
    <w:multiLevelType w:val="hybridMultilevel"/>
    <w:tmpl w:val="AF10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D3F5A"/>
    <w:multiLevelType w:val="hybridMultilevel"/>
    <w:tmpl w:val="367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01545"/>
    <w:multiLevelType w:val="hybridMultilevel"/>
    <w:tmpl w:val="20361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22E46"/>
    <w:multiLevelType w:val="multilevel"/>
    <w:tmpl w:val="C70A5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67C80"/>
    <w:multiLevelType w:val="hybridMultilevel"/>
    <w:tmpl w:val="147C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12DC6"/>
    <w:multiLevelType w:val="hybridMultilevel"/>
    <w:tmpl w:val="52EEC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E25DF"/>
    <w:multiLevelType w:val="hybridMultilevel"/>
    <w:tmpl w:val="FA926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3C7E16"/>
    <w:multiLevelType w:val="hybridMultilevel"/>
    <w:tmpl w:val="B37E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44710"/>
    <w:multiLevelType w:val="hybridMultilevel"/>
    <w:tmpl w:val="F906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A662C"/>
    <w:multiLevelType w:val="hybridMultilevel"/>
    <w:tmpl w:val="F182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84244"/>
    <w:multiLevelType w:val="hybridMultilevel"/>
    <w:tmpl w:val="4106CE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B5616"/>
    <w:multiLevelType w:val="hybridMultilevel"/>
    <w:tmpl w:val="B1CA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073A"/>
    <w:multiLevelType w:val="hybridMultilevel"/>
    <w:tmpl w:val="18607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A1BA8"/>
    <w:multiLevelType w:val="hybridMultilevel"/>
    <w:tmpl w:val="FB741CA6"/>
    <w:lvl w:ilvl="0" w:tplc="C420B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30A34"/>
    <w:multiLevelType w:val="hybridMultilevel"/>
    <w:tmpl w:val="368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26DB"/>
    <w:multiLevelType w:val="hybridMultilevel"/>
    <w:tmpl w:val="A9A0D30A"/>
    <w:lvl w:ilvl="0" w:tplc="C8C258BE">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63E83"/>
    <w:multiLevelType w:val="hybridMultilevel"/>
    <w:tmpl w:val="7A185A3A"/>
    <w:lvl w:ilvl="0" w:tplc="04090001">
      <w:start w:val="1"/>
      <w:numFmt w:val="bullet"/>
      <w:lvlText w:val=""/>
      <w:lvlJc w:val="left"/>
      <w:pPr>
        <w:ind w:left="1440" w:hanging="360"/>
      </w:pPr>
      <w:rPr>
        <w:rFonts w:ascii="Symbol" w:hAnsi="Symbol" w:hint="default"/>
      </w:rPr>
    </w:lvl>
    <w:lvl w:ilvl="1" w:tplc="1102E1EE">
      <w:start w:val="2"/>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FC0C6C"/>
    <w:multiLevelType w:val="hybridMultilevel"/>
    <w:tmpl w:val="6B7E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051A5"/>
    <w:multiLevelType w:val="hybridMultilevel"/>
    <w:tmpl w:val="47ECA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721FA"/>
    <w:multiLevelType w:val="multilevel"/>
    <w:tmpl w:val="3E9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079E"/>
    <w:multiLevelType w:val="hybridMultilevel"/>
    <w:tmpl w:val="F6B2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168D0"/>
    <w:multiLevelType w:val="hybridMultilevel"/>
    <w:tmpl w:val="989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786610">
    <w:abstractNumId w:val="5"/>
  </w:num>
  <w:num w:numId="2" w16cid:durableId="79721662">
    <w:abstractNumId w:val="21"/>
  </w:num>
  <w:num w:numId="3" w16cid:durableId="1852796166">
    <w:abstractNumId w:val="3"/>
  </w:num>
  <w:num w:numId="4" w16cid:durableId="322587768">
    <w:abstractNumId w:val="19"/>
  </w:num>
  <w:num w:numId="5" w16cid:durableId="507446493">
    <w:abstractNumId w:val="6"/>
  </w:num>
  <w:num w:numId="6" w16cid:durableId="359280276">
    <w:abstractNumId w:val="35"/>
  </w:num>
  <w:num w:numId="7" w16cid:durableId="1724131526">
    <w:abstractNumId w:val="24"/>
  </w:num>
  <w:num w:numId="8" w16cid:durableId="585386850">
    <w:abstractNumId w:val="33"/>
  </w:num>
  <w:num w:numId="9" w16cid:durableId="242954726">
    <w:abstractNumId w:val="11"/>
  </w:num>
  <w:num w:numId="10" w16cid:durableId="1120874940">
    <w:abstractNumId w:val="15"/>
  </w:num>
  <w:num w:numId="11" w16cid:durableId="545339379">
    <w:abstractNumId w:val="8"/>
  </w:num>
  <w:num w:numId="12" w16cid:durableId="1939486391">
    <w:abstractNumId w:val="9"/>
  </w:num>
  <w:num w:numId="13" w16cid:durableId="395863587">
    <w:abstractNumId w:val="2"/>
  </w:num>
  <w:num w:numId="14" w16cid:durableId="1437750811">
    <w:abstractNumId w:val="23"/>
  </w:num>
  <w:num w:numId="15" w16cid:durableId="1268387736">
    <w:abstractNumId w:val="32"/>
  </w:num>
  <w:num w:numId="16" w16cid:durableId="598295146">
    <w:abstractNumId w:val="18"/>
  </w:num>
  <w:num w:numId="17" w16cid:durableId="677003396">
    <w:abstractNumId w:val="13"/>
  </w:num>
  <w:num w:numId="18" w16cid:durableId="475494864">
    <w:abstractNumId w:val="26"/>
  </w:num>
  <w:num w:numId="19" w16cid:durableId="1887450775">
    <w:abstractNumId w:val="22"/>
  </w:num>
  <w:num w:numId="20" w16cid:durableId="497040370">
    <w:abstractNumId w:val="31"/>
  </w:num>
  <w:num w:numId="21" w16cid:durableId="1467234605">
    <w:abstractNumId w:val="12"/>
  </w:num>
  <w:num w:numId="22" w16cid:durableId="279923280">
    <w:abstractNumId w:val="4"/>
  </w:num>
  <w:num w:numId="23" w16cid:durableId="1178540773">
    <w:abstractNumId w:val="38"/>
  </w:num>
  <w:num w:numId="24" w16cid:durableId="1793403558">
    <w:abstractNumId w:val="14"/>
  </w:num>
  <w:num w:numId="25" w16cid:durableId="641692646">
    <w:abstractNumId w:val="16"/>
  </w:num>
  <w:num w:numId="26" w16cid:durableId="788664514">
    <w:abstractNumId w:val="1"/>
  </w:num>
  <w:num w:numId="27" w16cid:durableId="907307968">
    <w:abstractNumId w:val="39"/>
  </w:num>
  <w:num w:numId="28" w16cid:durableId="784739771">
    <w:abstractNumId w:val="30"/>
  </w:num>
  <w:num w:numId="29" w16cid:durableId="518854389">
    <w:abstractNumId w:val="29"/>
  </w:num>
  <w:num w:numId="30" w16cid:durableId="1685394996">
    <w:abstractNumId w:val="0"/>
  </w:num>
  <w:num w:numId="31" w16cid:durableId="1988437228">
    <w:abstractNumId w:val="7"/>
  </w:num>
  <w:num w:numId="32" w16cid:durableId="1052971032">
    <w:abstractNumId w:val="36"/>
  </w:num>
  <w:num w:numId="33" w16cid:durableId="1838961641">
    <w:abstractNumId w:val="25"/>
  </w:num>
  <w:num w:numId="34" w16cid:durableId="276180308">
    <w:abstractNumId w:val="28"/>
  </w:num>
  <w:num w:numId="35" w16cid:durableId="262033378">
    <w:abstractNumId w:val="27"/>
  </w:num>
  <w:num w:numId="36" w16cid:durableId="1416393996">
    <w:abstractNumId w:val="20"/>
  </w:num>
  <w:num w:numId="37" w16cid:durableId="30112121">
    <w:abstractNumId w:val="34"/>
  </w:num>
  <w:num w:numId="38" w16cid:durableId="1851017944">
    <w:abstractNumId w:val="37"/>
  </w:num>
  <w:num w:numId="39" w16cid:durableId="192689425">
    <w:abstractNumId w:val="17"/>
  </w:num>
  <w:num w:numId="40" w16cid:durableId="1655255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C7"/>
    <w:rsid w:val="00001AF8"/>
    <w:rsid w:val="00011D2A"/>
    <w:rsid w:val="00022EF7"/>
    <w:rsid w:val="00053F60"/>
    <w:rsid w:val="000571E5"/>
    <w:rsid w:val="00084323"/>
    <w:rsid w:val="00086BC8"/>
    <w:rsid w:val="000A003A"/>
    <w:rsid w:val="000A3254"/>
    <w:rsid w:val="000B1150"/>
    <w:rsid w:val="000D7252"/>
    <w:rsid w:val="000F4CD7"/>
    <w:rsid w:val="00107265"/>
    <w:rsid w:val="00183BE8"/>
    <w:rsid w:val="001862A2"/>
    <w:rsid w:val="001A0ACA"/>
    <w:rsid w:val="001B3ED4"/>
    <w:rsid w:val="001B443A"/>
    <w:rsid w:val="001C4FC3"/>
    <w:rsid w:val="001E3B2C"/>
    <w:rsid w:val="001F25D1"/>
    <w:rsid w:val="001F58A9"/>
    <w:rsid w:val="00205444"/>
    <w:rsid w:val="00205FBE"/>
    <w:rsid w:val="002256EA"/>
    <w:rsid w:val="0023566B"/>
    <w:rsid w:val="00247C21"/>
    <w:rsid w:val="00264D21"/>
    <w:rsid w:val="0027267F"/>
    <w:rsid w:val="00276E18"/>
    <w:rsid w:val="002A377B"/>
    <w:rsid w:val="002B2503"/>
    <w:rsid w:val="002B39EF"/>
    <w:rsid w:val="002C072E"/>
    <w:rsid w:val="002D33D8"/>
    <w:rsid w:val="00306AB8"/>
    <w:rsid w:val="00322FC5"/>
    <w:rsid w:val="00341E26"/>
    <w:rsid w:val="003532B4"/>
    <w:rsid w:val="00373FF0"/>
    <w:rsid w:val="003833F4"/>
    <w:rsid w:val="003A264A"/>
    <w:rsid w:val="003A4085"/>
    <w:rsid w:val="003E2AC9"/>
    <w:rsid w:val="00402DB8"/>
    <w:rsid w:val="00403CC1"/>
    <w:rsid w:val="00446C06"/>
    <w:rsid w:val="00487AA7"/>
    <w:rsid w:val="004A1AF0"/>
    <w:rsid w:val="004C2916"/>
    <w:rsid w:val="004C4B6E"/>
    <w:rsid w:val="004C756A"/>
    <w:rsid w:val="004D1A16"/>
    <w:rsid w:val="004D237E"/>
    <w:rsid w:val="004F0436"/>
    <w:rsid w:val="00540333"/>
    <w:rsid w:val="00563D58"/>
    <w:rsid w:val="005661EE"/>
    <w:rsid w:val="00570CC8"/>
    <w:rsid w:val="005829D3"/>
    <w:rsid w:val="005845C1"/>
    <w:rsid w:val="00586CB0"/>
    <w:rsid w:val="005C1425"/>
    <w:rsid w:val="005C7541"/>
    <w:rsid w:val="005F0819"/>
    <w:rsid w:val="00602DA9"/>
    <w:rsid w:val="0062078E"/>
    <w:rsid w:val="00646C56"/>
    <w:rsid w:val="00656127"/>
    <w:rsid w:val="00672C58"/>
    <w:rsid w:val="00672E35"/>
    <w:rsid w:val="0067765B"/>
    <w:rsid w:val="00677A7C"/>
    <w:rsid w:val="006A710B"/>
    <w:rsid w:val="006B07A7"/>
    <w:rsid w:val="006C2D3D"/>
    <w:rsid w:val="006D2740"/>
    <w:rsid w:val="00700FC5"/>
    <w:rsid w:val="007124A7"/>
    <w:rsid w:val="0073445F"/>
    <w:rsid w:val="007366E2"/>
    <w:rsid w:val="007801A2"/>
    <w:rsid w:val="007B100D"/>
    <w:rsid w:val="007B11D1"/>
    <w:rsid w:val="007B7E70"/>
    <w:rsid w:val="007C03C5"/>
    <w:rsid w:val="007C5C75"/>
    <w:rsid w:val="007D32C8"/>
    <w:rsid w:val="007D33BF"/>
    <w:rsid w:val="007D3442"/>
    <w:rsid w:val="007E61E0"/>
    <w:rsid w:val="00823AB5"/>
    <w:rsid w:val="008440AA"/>
    <w:rsid w:val="008770CB"/>
    <w:rsid w:val="00883617"/>
    <w:rsid w:val="008856A4"/>
    <w:rsid w:val="0088693F"/>
    <w:rsid w:val="008A21C7"/>
    <w:rsid w:val="008A78A0"/>
    <w:rsid w:val="008B108E"/>
    <w:rsid w:val="008B397A"/>
    <w:rsid w:val="008C6FBF"/>
    <w:rsid w:val="008D42BB"/>
    <w:rsid w:val="008E3B2C"/>
    <w:rsid w:val="008E612B"/>
    <w:rsid w:val="00910216"/>
    <w:rsid w:val="00915471"/>
    <w:rsid w:val="00915F4D"/>
    <w:rsid w:val="0098785E"/>
    <w:rsid w:val="009938CE"/>
    <w:rsid w:val="009A0C80"/>
    <w:rsid w:val="009A3CF0"/>
    <w:rsid w:val="009C7F34"/>
    <w:rsid w:val="009D4EED"/>
    <w:rsid w:val="009E0216"/>
    <w:rsid w:val="00A055F2"/>
    <w:rsid w:val="00A10591"/>
    <w:rsid w:val="00A245DA"/>
    <w:rsid w:val="00A323C0"/>
    <w:rsid w:val="00A447EE"/>
    <w:rsid w:val="00A85534"/>
    <w:rsid w:val="00A93F8E"/>
    <w:rsid w:val="00AB1D46"/>
    <w:rsid w:val="00AC1178"/>
    <w:rsid w:val="00AC1A36"/>
    <w:rsid w:val="00AE3956"/>
    <w:rsid w:val="00B439BB"/>
    <w:rsid w:val="00B52D72"/>
    <w:rsid w:val="00B60B89"/>
    <w:rsid w:val="00B873C8"/>
    <w:rsid w:val="00B929D6"/>
    <w:rsid w:val="00BA7E89"/>
    <w:rsid w:val="00BC773C"/>
    <w:rsid w:val="00C004D0"/>
    <w:rsid w:val="00C230EF"/>
    <w:rsid w:val="00C306A8"/>
    <w:rsid w:val="00C44ED2"/>
    <w:rsid w:val="00C5280D"/>
    <w:rsid w:val="00C6305C"/>
    <w:rsid w:val="00C6472B"/>
    <w:rsid w:val="00C727B1"/>
    <w:rsid w:val="00CA1C82"/>
    <w:rsid w:val="00CA4DBE"/>
    <w:rsid w:val="00CB0077"/>
    <w:rsid w:val="00CB40B3"/>
    <w:rsid w:val="00CC03B9"/>
    <w:rsid w:val="00CC4C35"/>
    <w:rsid w:val="00CE13CB"/>
    <w:rsid w:val="00D12939"/>
    <w:rsid w:val="00D23178"/>
    <w:rsid w:val="00D41327"/>
    <w:rsid w:val="00D46601"/>
    <w:rsid w:val="00D505E2"/>
    <w:rsid w:val="00D520A0"/>
    <w:rsid w:val="00D601EC"/>
    <w:rsid w:val="00D70CE8"/>
    <w:rsid w:val="00D91567"/>
    <w:rsid w:val="00D94FB5"/>
    <w:rsid w:val="00DC042A"/>
    <w:rsid w:val="00DC7EF8"/>
    <w:rsid w:val="00DD44AB"/>
    <w:rsid w:val="00DF0B48"/>
    <w:rsid w:val="00E01DB4"/>
    <w:rsid w:val="00E155B1"/>
    <w:rsid w:val="00E4188F"/>
    <w:rsid w:val="00E44828"/>
    <w:rsid w:val="00E53588"/>
    <w:rsid w:val="00E553BF"/>
    <w:rsid w:val="00E566F0"/>
    <w:rsid w:val="00E60ED7"/>
    <w:rsid w:val="00E957EF"/>
    <w:rsid w:val="00EB0A8D"/>
    <w:rsid w:val="00EC47C6"/>
    <w:rsid w:val="00EC6A81"/>
    <w:rsid w:val="00ED6019"/>
    <w:rsid w:val="00F20BBD"/>
    <w:rsid w:val="00F32B05"/>
    <w:rsid w:val="00F352DF"/>
    <w:rsid w:val="00F5706E"/>
    <w:rsid w:val="00FB050C"/>
    <w:rsid w:val="00FF03AC"/>
    <w:rsid w:val="09247BAB"/>
    <w:rsid w:val="1ED9A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6AC23"/>
  <w15:docId w15:val="{33E80E8C-5A37-451A-996B-58DDD89B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1C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8A21C7"/>
    <w:rPr>
      <w:b/>
      <w:bCs/>
    </w:rPr>
  </w:style>
  <w:style w:type="paragraph" w:customStyle="1" w:styleId="jobbul">
    <w:name w:val="job_bul"/>
    <w:basedOn w:val="Normal"/>
    <w:rsid w:val="00183BE8"/>
    <w:pPr>
      <w:spacing w:before="70" w:after="70" w:line="240" w:lineRule="auto"/>
      <w:jc w:val="both"/>
    </w:pPr>
    <w:rPr>
      <w:rFonts w:ascii="Times New Roman" w:eastAsia="Times New Roman" w:hAnsi="Times New Roman"/>
      <w:sz w:val="20"/>
      <w:szCs w:val="20"/>
    </w:rPr>
  </w:style>
  <w:style w:type="paragraph" w:styleId="ListParagraph">
    <w:name w:val="List Paragraph"/>
    <w:basedOn w:val="Normal"/>
    <w:uiPriority w:val="34"/>
    <w:qFormat/>
    <w:rsid w:val="00205444"/>
    <w:pPr>
      <w:ind w:left="720"/>
      <w:contextualSpacing/>
    </w:pPr>
  </w:style>
  <w:style w:type="paragraph" w:styleId="NoSpacing">
    <w:name w:val="No Spacing"/>
    <w:uiPriority w:val="1"/>
    <w:qFormat/>
    <w:rsid w:val="00ED6019"/>
    <w:pPr>
      <w:overflowPunct w:val="0"/>
      <w:autoSpaceDE w:val="0"/>
      <w:autoSpaceDN w:val="0"/>
      <w:adjustRightInd w:val="0"/>
      <w:textAlignment w:val="baseline"/>
    </w:pPr>
    <w:rPr>
      <w:rFonts w:ascii="Times New Roman" w:eastAsia="Times New Roman" w:hAnsi="Times New Roman"/>
    </w:rPr>
  </w:style>
  <w:style w:type="paragraph" w:customStyle="1" w:styleId="JDTEXTINPUT">
    <w:name w:val="JD TEXT INPUT"/>
    <w:basedOn w:val="Normal"/>
    <w:link w:val="JDTEXTINPUTChar"/>
    <w:rsid w:val="004C2916"/>
    <w:pPr>
      <w:overflowPunct w:val="0"/>
      <w:autoSpaceDE w:val="0"/>
      <w:autoSpaceDN w:val="0"/>
      <w:adjustRightInd w:val="0"/>
      <w:spacing w:after="0" w:line="240" w:lineRule="auto"/>
      <w:textAlignment w:val="baseline"/>
    </w:pPr>
    <w:rPr>
      <w:rFonts w:ascii="Helvetica-Narrow" w:eastAsia="Times New Roman" w:hAnsi="Helvetica-Narrow"/>
      <w:sz w:val="24"/>
      <w:szCs w:val="20"/>
    </w:rPr>
  </w:style>
  <w:style w:type="paragraph" w:styleId="BalloonText">
    <w:name w:val="Balloon Text"/>
    <w:basedOn w:val="Normal"/>
    <w:link w:val="BalloonTextChar"/>
    <w:uiPriority w:val="99"/>
    <w:semiHidden/>
    <w:unhideWhenUsed/>
    <w:rsid w:val="001E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B2C"/>
    <w:rPr>
      <w:rFonts w:ascii="Tahoma" w:hAnsi="Tahoma" w:cs="Tahoma"/>
      <w:sz w:val="16"/>
      <w:szCs w:val="16"/>
    </w:rPr>
  </w:style>
  <w:style w:type="character" w:customStyle="1" w:styleId="JDTEXTINPUTChar">
    <w:name w:val="JD TEXT INPUT Char"/>
    <w:link w:val="JDTEXTINPUT"/>
    <w:rsid w:val="000D7252"/>
    <w:rPr>
      <w:rFonts w:ascii="Helvetica-Narrow" w:eastAsia="Times New Roman" w:hAnsi="Helvetica-Narrow"/>
      <w:sz w:val="24"/>
    </w:rPr>
  </w:style>
  <w:style w:type="paragraph" w:styleId="Header">
    <w:name w:val="header"/>
    <w:basedOn w:val="Normal"/>
    <w:link w:val="HeaderChar"/>
    <w:uiPriority w:val="99"/>
    <w:unhideWhenUsed/>
    <w:rsid w:val="00D2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178"/>
    <w:rPr>
      <w:sz w:val="22"/>
      <w:szCs w:val="22"/>
    </w:rPr>
  </w:style>
  <w:style w:type="paragraph" w:styleId="Footer">
    <w:name w:val="footer"/>
    <w:basedOn w:val="Normal"/>
    <w:link w:val="FooterChar"/>
    <w:uiPriority w:val="99"/>
    <w:unhideWhenUsed/>
    <w:rsid w:val="00D2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178"/>
    <w:rPr>
      <w:sz w:val="22"/>
      <w:szCs w:val="22"/>
    </w:rPr>
  </w:style>
  <w:style w:type="paragraph" w:styleId="PlainText">
    <w:name w:val="Plain Text"/>
    <w:basedOn w:val="Normal"/>
    <w:link w:val="PlainTextChar"/>
    <w:uiPriority w:val="99"/>
    <w:semiHidden/>
    <w:unhideWhenUsed/>
    <w:rsid w:val="00EB0A8D"/>
    <w:pPr>
      <w:spacing w:after="0" w:line="240" w:lineRule="auto"/>
    </w:pPr>
    <w:rPr>
      <w:szCs w:val="21"/>
    </w:rPr>
  </w:style>
  <w:style w:type="character" w:customStyle="1" w:styleId="PlainTextChar">
    <w:name w:val="Plain Text Char"/>
    <w:basedOn w:val="DefaultParagraphFont"/>
    <w:link w:val="PlainText"/>
    <w:uiPriority w:val="99"/>
    <w:semiHidden/>
    <w:rsid w:val="00EB0A8D"/>
    <w:rPr>
      <w:sz w:val="22"/>
      <w:szCs w:val="21"/>
    </w:rPr>
  </w:style>
  <w:style w:type="character" w:customStyle="1" w:styleId="jdformfillv10">
    <w:name w:val="jdformfillv10"/>
    <w:basedOn w:val="DefaultParagraphFont"/>
    <w:rsid w:val="00DC0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70709">
      <w:bodyDiv w:val="1"/>
      <w:marLeft w:val="0"/>
      <w:marRight w:val="0"/>
      <w:marTop w:val="0"/>
      <w:marBottom w:val="0"/>
      <w:divBdr>
        <w:top w:val="none" w:sz="0" w:space="0" w:color="auto"/>
        <w:left w:val="none" w:sz="0" w:space="0" w:color="auto"/>
        <w:bottom w:val="none" w:sz="0" w:space="0" w:color="auto"/>
        <w:right w:val="none" w:sz="0" w:space="0" w:color="auto"/>
      </w:divBdr>
    </w:div>
    <w:div w:id="1058237570">
      <w:bodyDiv w:val="1"/>
      <w:marLeft w:val="0"/>
      <w:marRight w:val="0"/>
      <w:marTop w:val="0"/>
      <w:marBottom w:val="0"/>
      <w:divBdr>
        <w:top w:val="none" w:sz="0" w:space="0" w:color="auto"/>
        <w:left w:val="none" w:sz="0" w:space="0" w:color="auto"/>
        <w:bottom w:val="none" w:sz="0" w:space="0" w:color="auto"/>
        <w:right w:val="none" w:sz="0" w:space="0" w:color="auto"/>
      </w:divBdr>
    </w:div>
    <w:div w:id="1071541452">
      <w:bodyDiv w:val="1"/>
      <w:marLeft w:val="0"/>
      <w:marRight w:val="0"/>
      <w:marTop w:val="0"/>
      <w:marBottom w:val="0"/>
      <w:divBdr>
        <w:top w:val="none" w:sz="0" w:space="0" w:color="auto"/>
        <w:left w:val="none" w:sz="0" w:space="0" w:color="auto"/>
        <w:bottom w:val="none" w:sz="0" w:space="0" w:color="auto"/>
        <w:right w:val="none" w:sz="0" w:space="0" w:color="auto"/>
      </w:divBdr>
    </w:div>
    <w:div w:id="1265504067">
      <w:bodyDiv w:val="1"/>
      <w:marLeft w:val="0"/>
      <w:marRight w:val="0"/>
      <w:marTop w:val="0"/>
      <w:marBottom w:val="0"/>
      <w:divBdr>
        <w:top w:val="none" w:sz="0" w:space="0" w:color="auto"/>
        <w:left w:val="none" w:sz="0" w:space="0" w:color="auto"/>
        <w:bottom w:val="none" w:sz="0" w:space="0" w:color="auto"/>
        <w:right w:val="none" w:sz="0" w:space="0" w:color="auto"/>
      </w:divBdr>
    </w:div>
    <w:div w:id="1430589984">
      <w:bodyDiv w:val="1"/>
      <w:marLeft w:val="0"/>
      <w:marRight w:val="0"/>
      <w:marTop w:val="0"/>
      <w:marBottom w:val="0"/>
      <w:divBdr>
        <w:top w:val="none" w:sz="0" w:space="0" w:color="auto"/>
        <w:left w:val="none" w:sz="0" w:space="0" w:color="auto"/>
        <w:bottom w:val="none" w:sz="0" w:space="0" w:color="auto"/>
        <w:right w:val="none" w:sz="0" w:space="0" w:color="auto"/>
      </w:divBdr>
    </w:div>
    <w:div w:id="1478958636">
      <w:bodyDiv w:val="1"/>
      <w:marLeft w:val="0"/>
      <w:marRight w:val="0"/>
      <w:marTop w:val="0"/>
      <w:marBottom w:val="0"/>
      <w:divBdr>
        <w:top w:val="none" w:sz="0" w:space="0" w:color="auto"/>
        <w:left w:val="none" w:sz="0" w:space="0" w:color="auto"/>
        <w:bottom w:val="none" w:sz="0" w:space="0" w:color="auto"/>
        <w:right w:val="none" w:sz="0" w:space="0" w:color="auto"/>
      </w:divBdr>
    </w:div>
    <w:div w:id="1599412458">
      <w:bodyDiv w:val="1"/>
      <w:marLeft w:val="0"/>
      <w:marRight w:val="0"/>
      <w:marTop w:val="0"/>
      <w:marBottom w:val="0"/>
      <w:divBdr>
        <w:top w:val="none" w:sz="0" w:space="0" w:color="auto"/>
        <w:left w:val="none" w:sz="0" w:space="0" w:color="auto"/>
        <w:bottom w:val="none" w:sz="0" w:space="0" w:color="auto"/>
        <w:right w:val="none" w:sz="0" w:space="0" w:color="auto"/>
      </w:divBdr>
    </w:div>
    <w:div w:id="1911765229">
      <w:bodyDiv w:val="1"/>
      <w:marLeft w:val="0"/>
      <w:marRight w:val="0"/>
      <w:marTop w:val="0"/>
      <w:marBottom w:val="0"/>
      <w:divBdr>
        <w:top w:val="none" w:sz="0" w:space="0" w:color="auto"/>
        <w:left w:val="none" w:sz="0" w:space="0" w:color="auto"/>
        <w:bottom w:val="none" w:sz="0" w:space="0" w:color="auto"/>
        <w:right w:val="none" w:sz="0" w:space="0" w:color="auto"/>
      </w:divBdr>
    </w:div>
    <w:div w:id="192980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987</Words>
  <Characters>5631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Aramco Services Company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Sizemore, Mary</dc:creator>
  <cp:lastModifiedBy>LaBonte-Gray, Naomi L</cp:lastModifiedBy>
  <cp:revision>2</cp:revision>
  <cp:lastPrinted>2013-07-23T20:50:00Z</cp:lastPrinted>
  <dcterms:created xsi:type="dcterms:W3CDTF">2023-07-26T15:00:00Z</dcterms:created>
  <dcterms:modified xsi:type="dcterms:W3CDTF">2023-07-26T15:00:00Z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959062-7b44-4d77-8d0f-cf572960120c_Enabled">
    <vt:lpwstr>true</vt:lpwstr>
  </property>
  <property fmtid="{D5CDD505-2E9C-101B-9397-08002B2CF9AE}" pid="3" name="MSIP_Label_10959062-7b44-4d77-8d0f-cf572960120c_SetDate">
    <vt:lpwstr>2022-12-21T13:54:07Z</vt:lpwstr>
  </property>
  <property fmtid="{D5CDD505-2E9C-101B-9397-08002B2CF9AE}" pid="4" name="MSIP_Label_10959062-7b44-4d77-8d0f-cf572960120c_Method">
    <vt:lpwstr>Privileged</vt:lpwstr>
  </property>
  <property fmtid="{D5CDD505-2E9C-101B-9397-08002B2CF9AE}" pid="5" name="MSIP_Label_10959062-7b44-4d77-8d0f-cf572960120c_Name">
    <vt:lpwstr>ASC-General-Use</vt:lpwstr>
  </property>
  <property fmtid="{D5CDD505-2E9C-101B-9397-08002B2CF9AE}" pid="6" name="MSIP_Label_10959062-7b44-4d77-8d0f-cf572960120c_SiteId">
    <vt:lpwstr>3793a1e6-1687-4a33-a150-6d1a5640ff06</vt:lpwstr>
  </property>
  <property fmtid="{D5CDD505-2E9C-101B-9397-08002B2CF9AE}" pid="7" name="MSIP_Label_10959062-7b44-4d77-8d0f-cf572960120c_ActionId">
    <vt:lpwstr>4fa34b23-7ccb-46c8-972e-00d92492c27f</vt:lpwstr>
  </property>
  <property fmtid="{D5CDD505-2E9C-101B-9397-08002B2CF9AE}" pid="8" name="MSIP_Label_10959062-7b44-4d77-8d0f-cf572960120c_ContentBits">
    <vt:lpwstr>2</vt:lpwstr>
  </property>
</Properties>
</file>