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4FC" w14:textId="1D886FBD" w:rsidR="009B7B7D" w:rsidRPr="00B67A16" w:rsidRDefault="009B7B7D" w:rsidP="00EB243A">
      <w:pPr>
        <w:rPr>
          <w:color w:val="00206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68"/>
        <w:gridCol w:w="2458"/>
        <w:gridCol w:w="2006"/>
        <w:gridCol w:w="1701"/>
        <w:gridCol w:w="1246"/>
        <w:gridCol w:w="819"/>
      </w:tblGrid>
      <w:tr w:rsidR="00B67A16" w:rsidRPr="00F4283E" w14:paraId="369BFF41" w14:textId="77777777" w:rsidTr="00962AC5">
        <w:trPr>
          <w:trHeight w:val="310"/>
        </w:trPr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653368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Risk factor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71E1B7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High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ED0784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Medium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462B37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Low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70F4DC22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Comments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7CADE7A1" w14:textId="77777777" w:rsidR="009B7B7D" w:rsidRPr="00F4283E" w:rsidRDefault="009B7B7D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Weighing</w:t>
            </w:r>
          </w:p>
        </w:tc>
      </w:tr>
      <w:tr w:rsidR="00B67A16" w:rsidRPr="00F4283E" w14:paraId="7CC360D7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0C7A9E" w14:textId="7F424368" w:rsidR="00D5009C" w:rsidRPr="00F4283E" w:rsidRDefault="00D5009C" w:rsidP="009B7B7D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Volume risk</w:t>
            </w:r>
          </w:p>
          <w:p w14:paraId="2C20DFCC" w14:textId="1A25E5E0" w:rsidR="0071058D" w:rsidRPr="00F4283E" w:rsidRDefault="00C02712" w:rsidP="009B7B7D">
            <w:pPr>
              <w:rPr>
                <w:b/>
                <w:bCs/>
                <w:color w:val="002060"/>
                <w:sz w:val="14"/>
                <w:szCs w:val="14"/>
              </w:rPr>
            </w:pPr>
            <w:r>
              <w:rPr>
                <w:b/>
                <w:bCs/>
                <w:color w:val="002060"/>
                <w:sz w:val="14"/>
                <w:szCs w:val="14"/>
              </w:rPr>
              <w:t xml:space="preserve"> (</w:t>
            </w:r>
            <w:proofErr w:type="gramStart"/>
            <w:r>
              <w:rPr>
                <w:b/>
                <w:bCs/>
                <w:color w:val="002060"/>
                <w:sz w:val="14"/>
                <w:szCs w:val="14"/>
              </w:rPr>
              <w:t>number</w:t>
            </w:r>
            <w:proofErr w:type="gramEnd"/>
            <w:r>
              <w:rPr>
                <w:b/>
                <w:bCs/>
                <w:color w:val="002060"/>
                <w:sz w:val="14"/>
                <w:szCs w:val="14"/>
              </w:rPr>
              <w:t xml:space="preserve"> of operations)</w:t>
            </w:r>
          </w:p>
          <w:p w14:paraId="199C2C85" w14:textId="55FF6D2F" w:rsidR="00E6689C" w:rsidRPr="00F4283E" w:rsidRDefault="00E6689C" w:rsidP="009B7B7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DDF" w14:textId="0361E89E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&gt;1000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264B" w14:textId="5E25A307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&gt;=100 &amp; &lt;1000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BA27" w14:textId="64EC3522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&lt;100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0838C4" w14:textId="30BAA058" w:rsidR="00D5009C" w:rsidRPr="00F4283E" w:rsidRDefault="00D5009C" w:rsidP="00F32323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Includes both Import and Export on a site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A5CC" w14:textId="32750472" w:rsidR="00D5009C" w:rsidRPr="00F4283E" w:rsidRDefault="004E3E8E" w:rsidP="009B7B7D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D5009C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026A19D0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B8FB96" w14:textId="54BF4147" w:rsidR="00962AC5" w:rsidRPr="00F4283E" w:rsidRDefault="00962AC5" w:rsidP="00962AC5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Value risk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7DA4" w14:textId="592DDFD9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&gt;30MM USD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AF62" w14:textId="33759CE8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&gt;5MM and &lt;30MM USD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FBEC" w14:textId="2828090B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&lt;5MM USD</w:t>
            </w: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64DA" w14:textId="34E1CF5B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CA0C" w14:textId="64756416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CE1AEE7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A1A1A1C" w14:textId="566F0BE2" w:rsidR="0071058D" w:rsidRPr="00F4283E" w:rsidRDefault="00962AC5" w:rsidP="009E2CA3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Risk of significant duty paid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7D1D" w14:textId="63145AC6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&gt;0.5MM USD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8C50" w14:textId="45451E82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&gt;=0.1MM &amp; &lt;0.5MM USD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BD8B" w14:textId="0EF38B8F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&lt;0.1MM USD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4739" w14:textId="3C2D51A8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4BB8" w14:textId="7D764750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1CB1744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B1B88AC" w14:textId="77777777" w:rsidR="00962AC5" w:rsidRPr="00F4283E" w:rsidRDefault="00962AC5" w:rsidP="00962AC5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Maturity of operations</w:t>
            </w:r>
          </w:p>
          <w:p w14:paraId="059769E2" w14:textId="4C448127" w:rsidR="00962AC5" w:rsidRPr="00F4283E" w:rsidRDefault="00962AC5" w:rsidP="00962AC5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C198" w14:textId="6C2494FA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New site or acquired in last 24 months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AA6D" w14:textId="52742A17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F901" w14:textId="4D7F8427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Mature/operating for &gt;2 years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7A4D" w14:textId="3F107186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4C4" w14:textId="4645CB47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2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1B9BBEB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20F47AA" w14:textId="77777777" w:rsidR="00962AC5" w:rsidRPr="00F4283E" w:rsidRDefault="00962AC5" w:rsidP="00962AC5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Site operations risk</w:t>
            </w:r>
          </w:p>
          <w:p w14:paraId="7F16C274" w14:textId="3779CB0A" w:rsidR="0071058D" w:rsidRPr="009E2CA3" w:rsidRDefault="00962AC5" w:rsidP="0007699F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br/>
            </w:r>
            <w:r w:rsidRPr="00F4283E">
              <w:rPr>
                <w:color w:val="002060"/>
                <w:sz w:val="14"/>
                <w:szCs w:val="14"/>
              </w:rPr>
              <w:t>This factor enables the monitor to make a qualitative adjustment to risk rating based on type of operations, process/resources at the site, cycle time required, government view of site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/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business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/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IOR level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4199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Tooling </w:t>
            </w:r>
            <w:proofErr w:type="spellStart"/>
            <w:r w:rsidRPr="00F4283E">
              <w:rPr>
                <w:color w:val="002060"/>
                <w:sz w:val="14"/>
                <w:szCs w:val="14"/>
              </w:rPr>
              <w:t>Center</w:t>
            </w:r>
            <w:proofErr w:type="spellEnd"/>
          </w:p>
          <w:p w14:paraId="625282FD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specialized or high-regulated products</w:t>
            </w:r>
          </w:p>
          <w:p w14:paraId="1278202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Special Customs Regimes (Carnet or Temporary Imports / Exports)</w:t>
            </w:r>
          </w:p>
          <w:p w14:paraId="272ECAA9" w14:textId="2575E510" w:rsidR="00962AC5" w:rsidRPr="00F4283E" w:rsidRDefault="0071058D" w:rsidP="0071058D">
            <w:pPr>
              <w:ind w:left="-40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dedicated / specialized resources in place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749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Service Facility</w:t>
            </w:r>
          </w:p>
          <w:p w14:paraId="3EDE950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not specialized or not high-regulated products</w:t>
            </w:r>
          </w:p>
          <w:p w14:paraId="7C06EEE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Special Customs Regimes (Carnet or Temporary Imports / Exports)</w:t>
            </w:r>
          </w:p>
          <w:p w14:paraId="49218C3C" w14:textId="3108D057" w:rsidR="00962AC5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Dedicated / specialized resources in place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72DB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Service Facility</w:t>
            </w:r>
          </w:p>
          <w:p w14:paraId="6DCC307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not specialized or not high-regulated products</w:t>
            </w:r>
          </w:p>
          <w:p w14:paraId="4D6B6D0A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Dedicated / specialized resources in place</w:t>
            </w:r>
          </w:p>
          <w:p w14:paraId="270DC7A5" w14:textId="2D42FA91" w:rsidR="00962AC5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Trusted Trader Status or AEO certified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C35B" w14:textId="4CC73142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Elements considered in each category are just examples to define risk, some or all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5FA9" w14:textId="74392CA3" w:rsidR="00962AC5" w:rsidRPr="00F4283E" w:rsidRDefault="0071058D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10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161ADD9D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88E384" w14:textId="20AE9519" w:rsidR="00F32323" w:rsidRPr="00F4283E" w:rsidRDefault="00F32323" w:rsidP="00F32323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 xml:space="preserve">Export transactions </w:t>
            </w:r>
            <w:r w:rsidRPr="00F4283E">
              <w:rPr>
                <w:color w:val="002060"/>
                <w:sz w:val="14"/>
                <w:szCs w:val="14"/>
              </w:rPr>
              <w:t>(where GE acts as the Exporter of Record (EOR) in alignment with country regulatory requirements or Where GE acts as the Principal Party of Interest (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e.g.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U.S. Routed Export Transactions))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16B3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Exports to 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High Risk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Countries</w:t>
            </w:r>
          </w:p>
          <w:p w14:paraId="6BFE943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not IOR</w:t>
            </w:r>
          </w:p>
          <w:p w14:paraId="2089BF61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tracking of Export Transactions</w:t>
            </w:r>
          </w:p>
          <w:p w14:paraId="5F7FB03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Tracking of Special Program or temporary transactions (CARNET)</w:t>
            </w:r>
          </w:p>
          <w:p w14:paraId="409764B3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High Value - High Risk destination countries</w:t>
            </w:r>
          </w:p>
          <w:p w14:paraId="0AFF0E8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75DC3EC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Registry and approval of customs agent is mandatory per country regs. </w:t>
            </w:r>
          </w:p>
          <w:p w14:paraId="1D61694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 duties and fees apply</w:t>
            </w:r>
          </w:p>
          <w:p w14:paraId="408D05D6" w14:textId="3D10B4EA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Export goods are subject to export controls and licenses (Military or Dual Use)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C6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Exports to 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Low Risk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Countries</w:t>
            </w:r>
          </w:p>
          <w:p w14:paraId="5E059CCE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IOR, or no Import Obligations for any exports</w:t>
            </w:r>
          </w:p>
          <w:p w14:paraId="185D7AEE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Tracking of Special Program or temporary transactions (CARNET)</w:t>
            </w:r>
          </w:p>
          <w:p w14:paraId="5541CC1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Medium Value - Low Risk destination countries</w:t>
            </w:r>
          </w:p>
          <w:p w14:paraId="58402B3B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30C76734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registration or approval of customs agent required</w:t>
            </w:r>
          </w:p>
          <w:p w14:paraId="6CCEF787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or insignificant export duties or export fees apply</w:t>
            </w:r>
          </w:p>
          <w:p w14:paraId="5AFAD46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subject to export controls or licenses (Military or Dual Use)</w:t>
            </w:r>
          </w:p>
          <w:p w14:paraId="7D25B622" w14:textId="63B25B16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Frequent / Medium volume of export shipments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6A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only Low Risk Countries</w:t>
            </w:r>
          </w:p>
          <w:p w14:paraId="1838D77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IOR, or no Import Obligations for any exports</w:t>
            </w:r>
          </w:p>
          <w:p w14:paraId="57AF64B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Requirement for Tracking of Special Program or temporary transactions (CARNET)</w:t>
            </w:r>
          </w:p>
          <w:p w14:paraId="7EB7DB47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Low value / occasional shipments</w:t>
            </w:r>
          </w:p>
          <w:p w14:paraId="6E643D5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1691E08A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registration or approval of customs agent required</w:t>
            </w:r>
          </w:p>
          <w:p w14:paraId="755FCEF1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export duties or export fees apply</w:t>
            </w:r>
          </w:p>
          <w:p w14:paraId="2AC93CED" w14:textId="7792F852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subject to export controls or licenses (Military or Dual Use)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0C45" w14:textId="3BAFE756" w:rsidR="00F32323" w:rsidRPr="00F4283E" w:rsidRDefault="00F32323" w:rsidP="00F32323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6113" w14:textId="5C4D5CE5" w:rsidR="00F32323" w:rsidRPr="00F4283E" w:rsidRDefault="0071058D" w:rsidP="00F32323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10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126AEEB6" w14:textId="77777777" w:rsidTr="00224A4D">
        <w:trPr>
          <w:trHeight w:val="27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6E672139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727123" w14:textId="17F543E1" w:rsidR="009B7B7D" w:rsidRPr="00F4283E" w:rsidRDefault="004E3E8E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31</w:t>
            </w:r>
            <w:r w:rsidR="009B7B7D"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%</w:t>
            </w:r>
          </w:p>
        </w:tc>
      </w:tr>
    </w:tbl>
    <w:p w14:paraId="471DE969" w14:textId="61903690" w:rsidR="00224A4D" w:rsidRPr="00B67A16" w:rsidRDefault="00224A4D" w:rsidP="00EB243A">
      <w:pPr>
        <w:rPr>
          <w:color w:val="002060"/>
        </w:rPr>
      </w:pPr>
    </w:p>
    <w:p w14:paraId="3D1FFEFC" w14:textId="77777777" w:rsidR="00E6689C" w:rsidRPr="00B67A16" w:rsidRDefault="00E6689C" w:rsidP="002439CD">
      <w:pPr>
        <w:spacing w:after="160" w:line="259" w:lineRule="auto"/>
        <w:rPr>
          <w:b/>
          <w:bCs/>
          <w:color w:val="002060"/>
        </w:rPr>
      </w:pPr>
    </w:p>
    <w:p w14:paraId="748A0ED9" w14:textId="195A6D4E" w:rsidR="00224A4D" w:rsidRPr="00B67A16" w:rsidRDefault="00224A4D" w:rsidP="002439CD">
      <w:pPr>
        <w:spacing w:after="160" w:line="259" w:lineRule="auto"/>
        <w:rPr>
          <w:b/>
          <w:bCs/>
          <w:color w:val="002060"/>
        </w:rPr>
      </w:pPr>
      <w:r w:rsidRPr="00B67A16">
        <w:rPr>
          <w:b/>
          <w:bCs/>
          <w:color w:val="002060"/>
        </w:rPr>
        <w:t>Customs Specific Areas</w:t>
      </w:r>
    </w:p>
    <w:p w14:paraId="21AD8188" w14:textId="1F739156" w:rsidR="00B37973" w:rsidRPr="00B67A16" w:rsidRDefault="003D64A1" w:rsidP="00B37973">
      <w:pPr>
        <w:rPr>
          <w:color w:val="002060"/>
        </w:rPr>
      </w:pPr>
      <w:r>
        <w:rPr>
          <w:color w:val="002060"/>
        </w:rPr>
        <w:t>XXXXXXX</w:t>
      </w:r>
      <w:r w:rsidR="004B4B43">
        <w:rPr>
          <w:color w:val="002060"/>
        </w:rPr>
        <w:t xml:space="preserve"> </w:t>
      </w:r>
      <w:r w:rsidR="00B37973" w:rsidRPr="00B67A16">
        <w:rPr>
          <w:color w:val="002060"/>
        </w:rPr>
        <w:t xml:space="preserve">Regional Customs Operations is required to update the below details in the Risk Assessment </w:t>
      </w:r>
      <w:proofErr w:type="gramStart"/>
      <w:r w:rsidR="00B37973" w:rsidRPr="00B67A16">
        <w:rPr>
          <w:color w:val="002060"/>
        </w:rPr>
        <w:t>Template  for</w:t>
      </w:r>
      <w:proofErr w:type="gramEnd"/>
      <w:r w:rsidR="00B37973" w:rsidRPr="00B67A16">
        <w:rPr>
          <w:color w:val="002060"/>
        </w:rPr>
        <w:t xml:space="preserve"> each of the sites they support.  </w:t>
      </w:r>
    </w:p>
    <w:p w14:paraId="1730C6B6" w14:textId="77777777" w:rsidR="00224A4D" w:rsidRPr="00B67A16" w:rsidRDefault="00224A4D" w:rsidP="00EB243A">
      <w:pPr>
        <w:rPr>
          <w:color w:val="00206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79"/>
        <w:gridCol w:w="2151"/>
        <w:gridCol w:w="1903"/>
        <w:gridCol w:w="2001"/>
        <w:gridCol w:w="1545"/>
        <w:gridCol w:w="1077"/>
      </w:tblGrid>
      <w:tr w:rsidR="00B67A16" w:rsidRPr="009E2CA3" w14:paraId="7EAA0CAB" w14:textId="77777777" w:rsidTr="0071058D">
        <w:trPr>
          <w:trHeight w:val="310"/>
        </w:trPr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214496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Risk factor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50E68A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High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A910E0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Medium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F94BEC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Low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4DE281F6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Comments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05A0A36C" w14:textId="77777777" w:rsidR="000B3601" w:rsidRPr="009E2CA3" w:rsidRDefault="000B3601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Weighing</w:t>
            </w:r>
          </w:p>
        </w:tc>
      </w:tr>
      <w:tr w:rsidR="00B67A16" w:rsidRPr="009E2CA3" w14:paraId="54B1EE13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5EF1141" w14:textId="07394F69" w:rsidR="00E71A5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Defect rate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t xml:space="preserve">Defects are mainly related to classification, </w:t>
            </w:r>
            <w:r w:rsidR="002439CD" w:rsidRPr="009E2CA3">
              <w:rPr>
                <w:color w:val="002060"/>
                <w:sz w:val="14"/>
                <w:szCs w:val="14"/>
              </w:rPr>
              <w:t>valuation,</w:t>
            </w:r>
            <w:r w:rsidRPr="009E2CA3">
              <w:rPr>
                <w:color w:val="002060"/>
                <w:sz w:val="14"/>
                <w:szCs w:val="14"/>
              </w:rPr>
              <w:t xml:space="preserve"> and duty, NTB, quantity accuracy; regardless of Operational model (including the results of the </w:t>
            </w:r>
            <w:r w:rsidR="008732F8" w:rsidRPr="009E2CA3">
              <w:rPr>
                <w:color w:val="002060"/>
                <w:sz w:val="14"/>
                <w:szCs w:val="14"/>
              </w:rPr>
              <w:t>BIR</w:t>
            </w:r>
            <w:r w:rsidRPr="009E2CA3">
              <w:rPr>
                <w:color w:val="002060"/>
                <w:sz w:val="14"/>
                <w:szCs w:val="14"/>
              </w:rPr>
              <w:t>).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A97B" w14:textId="0524D83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&gt;10% recurrent defects</w:t>
            </w:r>
            <w:r w:rsidRPr="009E2CA3">
              <w:rPr>
                <w:color w:val="002060"/>
                <w:sz w:val="14"/>
                <w:szCs w:val="14"/>
              </w:rPr>
              <w:t xml:space="preserve"> in the last 6 months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965F" w14:textId="4EBE08F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5%-10%</w:t>
            </w:r>
            <w:r w:rsidRPr="009E2CA3">
              <w:rPr>
                <w:color w:val="002060"/>
                <w:sz w:val="14"/>
                <w:szCs w:val="14"/>
              </w:rPr>
              <w:t xml:space="preserve"> in the last 6 months</w:t>
            </w:r>
            <w:r w:rsidRPr="009E2CA3">
              <w:rPr>
                <w:color w:val="002060"/>
                <w:sz w:val="14"/>
                <w:szCs w:val="14"/>
              </w:rPr>
              <w:br/>
              <w:t>• Defect categories vary, no trend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8751" w14:textId="3988BAE0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&lt;5% </w:t>
            </w:r>
            <w:r w:rsidRPr="009E2CA3">
              <w:rPr>
                <w:color w:val="002060"/>
                <w:sz w:val="14"/>
                <w:szCs w:val="14"/>
              </w:rPr>
              <w:t>in last 6 months</w:t>
            </w:r>
            <w:r w:rsidRPr="009E2CA3">
              <w:rPr>
                <w:color w:val="002060"/>
                <w:sz w:val="14"/>
                <w:szCs w:val="14"/>
              </w:rPr>
              <w:br/>
              <w:t>• No trend</w:t>
            </w:r>
            <w:r w:rsidRPr="009E2CA3">
              <w:rPr>
                <w:color w:val="002060"/>
                <w:sz w:val="14"/>
                <w:szCs w:val="14"/>
              </w:rPr>
              <w:br/>
              <w:t>• Low risk defects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E8DE" w14:textId="66D1C5D4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808F" w14:textId="17C381DF" w:rsidR="000B3601" w:rsidRPr="009E2CA3" w:rsidRDefault="000B3601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10%</w:t>
            </w:r>
          </w:p>
        </w:tc>
      </w:tr>
      <w:tr w:rsidR="00B67A16" w:rsidRPr="009E2CA3" w14:paraId="32A09324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907401E" w14:textId="3CEFA784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Audit history and litigation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AA59" w14:textId="189F466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significant findings 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of less than 70% accuracy</w:t>
            </w:r>
            <w:r w:rsidRPr="009E2CA3">
              <w:rPr>
                <w:color w:val="002060"/>
                <w:sz w:val="14"/>
                <w:szCs w:val="14"/>
              </w:rPr>
              <w:br/>
              <w:t>• Litigations lost in the past 2 years or in progress with low probability of success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2FFD" w14:textId="77777777" w:rsidR="000B360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no significant</w:t>
            </w:r>
            <w:r w:rsidRPr="009E2CA3">
              <w:rPr>
                <w:color w:val="002060"/>
                <w:sz w:val="14"/>
                <w:szCs w:val="14"/>
              </w:rPr>
              <w:t xml:space="preserve">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findings </w:t>
            </w:r>
            <w:r w:rsidRPr="009E2CA3">
              <w:rPr>
                <w:color w:val="002060"/>
                <w:sz w:val="14"/>
                <w:szCs w:val="14"/>
              </w:rPr>
              <w:t xml:space="preserve">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between 70% and 95% accuracy</w:t>
            </w:r>
            <w:r w:rsidRPr="009E2CA3">
              <w:rPr>
                <w:color w:val="002060"/>
                <w:sz w:val="14"/>
                <w:szCs w:val="14"/>
              </w:rPr>
              <w:t>, or</w:t>
            </w:r>
            <w:r w:rsidRPr="009E2CA3">
              <w:rPr>
                <w:color w:val="002060"/>
                <w:sz w:val="14"/>
                <w:szCs w:val="14"/>
              </w:rPr>
              <w:br/>
              <w:t>• No internal or external compliance audit within the last 24 months</w:t>
            </w:r>
          </w:p>
          <w:p w14:paraId="771ADDF0" w14:textId="1BC705AB" w:rsidR="00E71A51" w:rsidRPr="009E2CA3" w:rsidRDefault="00E71A5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693" w14:textId="55554FE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no findings </w:t>
            </w:r>
            <w:r w:rsidRPr="009E2CA3">
              <w:rPr>
                <w:color w:val="002060"/>
                <w:sz w:val="14"/>
                <w:szCs w:val="14"/>
              </w:rPr>
              <w:t xml:space="preserve">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above 95% accuracy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7EF0" w14:textId="44E78FE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Includes internal &amp; external audits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BFB6" w14:textId="425A0933" w:rsidR="000B3601" w:rsidRPr="009E2CA3" w:rsidRDefault="000B3601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10%</w:t>
            </w:r>
          </w:p>
        </w:tc>
      </w:tr>
      <w:tr w:rsidR="00B67A16" w:rsidRPr="009E2CA3" w14:paraId="0CC23059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59D76EE" w14:textId="78E750CC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S</w:t>
            </w:r>
            <w:r w:rsidR="003D64A1">
              <w:rPr>
                <w:b/>
                <w:bCs/>
                <w:color w:val="002060"/>
                <w:sz w:val="14"/>
                <w:szCs w:val="14"/>
              </w:rPr>
              <w:t xml:space="preserve">pecial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P</w:t>
            </w:r>
            <w:r w:rsidR="003D64A1">
              <w:rPr>
                <w:b/>
                <w:bCs/>
                <w:color w:val="002060"/>
                <w:sz w:val="14"/>
                <w:szCs w:val="14"/>
              </w:rPr>
              <w:t>rogram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6C90" w14:textId="148E4016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Lack of documented SOP</w:t>
            </w:r>
            <w:r w:rsidRPr="009E2CA3">
              <w:rPr>
                <w:color w:val="002060"/>
                <w:sz w:val="14"/>
                <w:szCs w:val="14"/>
              </w:rPr>
              <w:br/>
              <w:t>• Significant regulation changes / updates</w:t>
            </w:r>
            <w:r w:rsidRPr="009E2CA3">
              <w:rPr>
                <w:color w:val="002060"/>
                <w:sz w:val="14"/>
                <w:szCs w:val="14"/>
              </w:rPr>
              <w:br/>
              <w:t>• Repository not maintained</w:t>
            </w:r>
            <w:r w:rsidRPr="009E2CA3">
              <w:rPr>
                <w:color w:val="002060"/>
                <w:sz w:val="14"/>
                <w:szCs w:val="14"/>
              </w:rPr>
              <w:br/>
              <w:t>• High Volume of transactions involved</w:t>
            </w:r>
            <w:r w:rsidRPr="009E2CA3">
              <w:rPr>
                <w:color w:val="002060"/>
                <w:sz w:val="14"/>
                <w:szCs w:val="14"/>
              </w:rPr>
              <w:br/>
              <w:t>• High Duty Avoidance/Savings</w:t>
            </w:r>
            <w:r w:rsidRPr="009E2CA3">
              <w:rPr>
                <w:color w:val="002060"/>
                <w:sz w:val="14"/>
                <w:szCs w:val="14"/>
              </w:rPr>
              <w:br/>
              <w:t>• No SME oversight</w:t>
            </w:r>
            <w:r w:rsidRPr="009E2CA3">
              <w:rPr>
                <w:color w:val="002060"/>
                <w:sz w:val="14"/>
                <w:szCs w:val="14"/>
              </w:rPr>
              <w:br/>
              <w:t>• Lack of information retrieval availability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</w:t>
            </w:r>
            <w:r w:rsidR="00F10311" w:rsidRPr="009E2CA3">
              <w:rPr>
                <w:color w:val="002060"/>
                <w:sz w:val="14"/>
                <w:szCs w:val="14"/>
              </w:rPr>
              <w:t>Existence</w:t>
            </w:r>
            <w:r w:rsidRPr="009E2CA3">
              <w:rPr>
                <w:color w:val="002060"/>
                <w:sz w:val="14"/>
                <w:szCs w:val="14"/>
              </w:rPr>
              <w:t xml:space="preserve"> of escalations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C3ED" w14:textId="55CC3925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Medium risk special programs have a combination of high and low risk factors.  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Example: a program with high volume managed with no escalations that has SME oversight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Example: a single transaction program with high duty avoidance and no SME oversight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3F59" w14:textId="303D5041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Having a documented SOP</w:t>
            </w:r>
            <w:r w:rsidRPr="009E2CA3">
              <w:rPr>
                <w:color w:val="002060"/>
                <w:sz w:val="14"/>
                <w:szCs w:val="14"/>
              </w:rPr>
              <w:br/>
              <w:t>• Little or no regulation changes / updates</w:t>
            </w:r>
            <w:r w:rsidRPr="009E2CA3">
              <w:rPr>
                <w:color w:val="002060"/>
                <w:sz w:val="14"/>
                <w:szCs w:val="14"/>
              </w:rPr>
              <w:br/>
              <w:t>• Repository maintained and updated</w:t>
            </w:r>
            <w:r w:rsidRPr="009E2CA3">
              <w:rPr>
                <w:color w:val="002060"/>
                <w:sz w:val="14"/>
                <w:szCs w:val="14"/>
              </w:rPr>
              <w:br/>
              <w:t>• Low Volume of transactions involved</w:t>
            </w:r>
            <w:r w:rsidRPr="009E2CA3">
              <w:rPr>
                <w:color w:val="002060"/>
                <w:sz w:val="14"/>
                <w:szCs w:val="14"/>
              </w:rPr>
              <w:br/>
              <w:t>• Small Duty Avoidance/Savings</w:t>
            </w:r>
            <w:r w:rsidRPr="009E2CA3">
              <w:rPr>
                <w:color w:val="002060"/>
                <w:sz w:val="14"/>
                <w:szCs w:val="14"/>
              </w:rPr>
              <w:br/>
              <w:t>• Having SME oversight</w:t>
            </w:r>
            <w:r w:rsidRPr="009E2CA3">
              <w:rPr>
                <w:color w:val="002060"/>
                <w:sz w:val="14"/>
                <w:szCs w:val="14"/>
              </w:rPr>
              <w:br/>
              <w:t>• Information retrieval availability</w:t>
            </w:r>
            <w:r w:rsidRPr="009E2CA3">
              <w:rPr>
                <w:color w:val="002060"/>
                <w:sz w:val="14"/>
                <w:szCs w:val="14"/>
              </w:rPr>
              <w:br/>
              <w:t>• No escalations received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9EB3" w14:textId="77777777" w:rsidR="000B360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Site level summary risk rating combining inherent &amp; process control factors for the special program(s) used by that site.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Note - the risk details should be appropriately captured in the special program repository at the program level.</w:t>
            </w:r>
          </w:p>
          <w:p w14:paraId="40D13AE2" w14:textId="38251969" w:rsidR="00E71A51" w:rsidRPr="009E2CA3" w:rsidRDefault="00E71A5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CC30" w14:textId="7E5CBAFA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6C21D8F2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0C570D2" w14:textId="55B734E4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Valuation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DB65" w14:textId="53CABE1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Related party transactions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Significant additions/deductions needed to </w:t>
            </w:r>
            <w:r w:rsidRPr="009E2CA3">
              <w:rPr>
                <w:color w:val="002060"/>
                <w:sz w:val="14"/>
                <w:szCs w:val="14"/>
              </w:rPr>
              <w:lastRenderedPageBreak/>
              <w:t>determine at Customs Value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High 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amount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of duties paid/saved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Existence of value related quantitative restrictions </w:t>
            </w:r>
            <w:r w:rsidRPr="009E2CA3">
              <w:rPr>
                <w:color w:val="002060"/>
                <w:sz w:val="14"/>
                <w:szCs w:val="14"/>
              </w:rPr>
              <w:br/>
              <w:t>• Several valuation methods at the business</w:t>
            </w:r>
            <w:r w:rsidRPr="009E2CA3">
              <w:rPr>
                <w:color w:val="002060"/>
                <w:sz w:val="14"/>
                <w:szCs w:val="14"/>
              </w:rPr>
              <w:br/>
              <w:t>• Little engagement of business stakeholders in value determination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6086" w14:textId="3CA81356" w:rsidR="00E71A5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lastRenderedPageBreak/>
              <w:t xml:space="preserve">Medium risk, where valuation has a combination of high and low risk factors.  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lastRenderedPageBreak/>
              <w:br/>
              <w:t xml:space="preserve">Example: existence of related party transactions, but it is always the same conditions on </w:t>
            </w:r>
            <w:r w:rsidR="00F10311" w:rsidRPr="009E2CA3">
              <w:rPr>
                <w:color w:val="002060"/>
                <w:sz w:val="14"/>
                <w:szCs w:val="14"/>
              </w:rPr>
              <w:t>transactions,</w:t>
            </w:r>
            <w:r w:rsidRPr="009E2CA3">
              <w:rPr>
                <w:color w:val="002060"/>
                <w:sz w:val="14"/>
                <w:szCs w:val="14"/>
              </w:rPr>
              <w:t xml:space="preserve"> so valuation method is always consistent. Finance and tax team are involved </w:t>
            </w:r>
            <w:r w:rsidR="00F10311" w:rsidRPr="009E2CA3">
              <w:rPr>
                <w:color w:val="002060"/>
                <w:sz w:val="14"/>
                <w:szCs w:val="14"/>
              </w:rPr>
              <w:t>actively</w:t>
            </w:r>
            <w:r w:rsidRPr="009E2CA3">
              <w:rPr>
                <w:color w:val="002060"/>
                <w:sz w:val="14"/>
                <w:szCs w:val="14"/>
              </w:rPr>
              <w:t xml:space="preserve"> in determination of value, even if the duties saved are high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C4F" w14:textId="23EC5C1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lastRenderedPageBreak/>
              <w:t>• Non-Related party transactions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Little or no </w:t>
            </w:r>
            <w:r w:rsidRPr="009E2CA3">
              <w:rPr>
                <w:color w:val="002060"/>
                <w:sz w:val="14"/>
                <w:szCs w:val="14"/>
              </w:rPr>
              <w:lastRenderedPageBreak/>
              <w:t>additions/deductions needed to determine at Customs Value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Small </w:t>
            </w:r>
            <w:proofErr w:type="gramStart"/>
            <w:r w:rsidR="00F10311" w:rsidRPr="009E2CA3">
              <w:rPr>
                <w:color w:val="002060"/>
                <w:sz w:val="14"/>
                <w:szCs w:val="14"/>
              </w:rPr>
              <w:t>amount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of duties paid/saved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Absence of value related quantitative restrictions </w:t>
            </w:r>
            <w:r w:rsidRPr="009E2CA3">
              <w:rPr>
                <w:color w:val="002060"/>
                <w:sz w:val="14"/>
                <w:szCs w:val="14"/>
              </w:rPr>
              <w:br/>
              <w:t>• Same time of transactions that lead to using a single valuation method at the business</w:t>
            </w:r>
            <w:r w:rsidRPr="009E2CA3">
              <w:rPr>
                <w:color w:val="002060"/>
                <w:sz w:val="14"/>
                <w:szCs w:val="14"/>
              </w:rPr>
              <w:br/>
              <w:t>• Active engagement of business stakeholders in value determination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20EB" w14:textId="21C360F2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9D21" w14:textId="6A866FDC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4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E6EE25D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98CB393" w14:textId="7074F5A1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Country of Origin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2A35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No COO data maintained in ERP and validated </w:t>
            </w:r>
          </w:p>
          <w:p w14:paraId="55D1EB63" w14:textId="3533090C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Identical goods sourced from different suppliers with different COO, having same SKU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1EC3" w14:textId="4320940D" w:rsidR="000B3601" w:rsidRPr="009E2CA3" w:rsidRDefault="0071058D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No Medium Risk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8D7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COO data maintained in ERP and validated </w:t>
            </w:r>
          </w:p>
          <w:p w14:paraId="43E90AF6" w14:textId="3A748A24" w:rsidR="00E71A5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Identical goods sourced from different suppliers with different COO having separate SKU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5D67" w14:textId="219F8468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10AF" w14:textId="00D00AEA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5</w:t>
            </w:r>
            <w:r w:rsidR="00962AC5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382BEAB7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B5034A" w14:textId="5200036B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Classification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351E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21827C4B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&gt;HTS from documents</w:t>
            </w:r>
          </w:p>
          <w:p w14:paraId="25E70C29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&gt;Historical HTS database without proper review</w:t>
            </w:r>
          </w:p>
          <w:p w14:paraId="2BCA3C3D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&gt;Untrained / Inexperienced classifier</w:t>
            </w:r>
          </w:p>
          <w:p w14:paraId="0875C49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HTS inconsistency on Customs declarations</w:t>
            </w:r>
          </w:p>
          <w:p w14:paraId="29043CF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Tariffs that requires PGA and CVD/ADD</w:t>
            </w:r>
          </w:p>
          <w:p w14:paraId="274C21CC" w14:textId="22A45EC0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Transactions of parts with single SKU for different KIT requirements, or different SKU for same KIT requirements (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i.e.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KIT requirement is what items are included in the KIT)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A58F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2EB968E0" w14:textId="17FDFB03" w:rsidR="00E71A5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&gt;In-Country Broker</w:t>
            </w:r>
            <w:r w:rsidRPr="009E2CA3"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78CA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0ABF985B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&gt;Global Classification BPO</w:t>
            </w:r>
          </w:p>
          <w:p w14:paraId="73448CA9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&gt;Local BPO for Classification</w:t>
            </w:r>
          </w:p>
          <w:p w14:paraId="27D512AD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HTS consistency on Customs declarations</w:t>
            </w:r>
          </w:p>
          <w:p w14:paraId="343A4440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Tariffs that do not require PGA and CVD/ADD</w:t>
            </w:r>
          </w:p>
          <w:p w14:paraId="19F92415" w14:textId="4C4BA51E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Good management of SKU for different KIT requirements</w:t>
            </w:r>
            <w:r w:rsidR="007C2C07" w:rsidRPr="009E2CA3">
              <w:rPr>
                <w:color w:val="002060"/>
                <w:sz w:val="14"/>
                <w:szCs w:val="14"/>
              </w:rPr>
              <w:t xml:space="preserve"> </w:t>
            </w:r>
            <w:r w:rsidRPr="009E2CA3">
              <w:rPr>
                <w:color w:val="002060"/>
                <w:sz w:val="14"/>
                <w:szCs w:val="14"/>
              </w:rPr>
              <w:t>(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i.e.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KIT requirement is what items are included in the KIT)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F0C8" w14:textId="71A79A17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D024" w14:textId="07EE4D62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5</w:t>
            </w:r>
            <w:r w:rsidR="00962AC5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0C3C676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D84F37" w14:textId="6590094B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Record Keeping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791" w14:textId="446EB657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RK maintained by multiple broker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Multi-storage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location at site level</w:t>
            </w:r>
            <w:r w:rsidRPr="009E2CA3">
              <w:rPr>
                <w:color w:val="002060"/>
                <w:sz w:val="14"/>
                <w:szCs w:val="14"/>
              </w:rPr>
              <w:br/>
              <w:t>• Local hard copy (or digital) requirement</w:t>
            </w:r>
            <w:r w:rsidRPr="009E2CA3">
              <w:rPr>
                <w:color w:val="002060"/>
                <w:sz w:val="14"/>
                <w:szCs w:val="14"/>
              </w:rPr>
              <w:br/>
              <w:t>• Transactions/Period-based government reviews</w:t>
            </w:r>
            <w:r w:rsidRPr="009E2CA3">
              <w:rPr>
                <w:color w:val="002060"/>
                <w:sz w:val="14"/>
                <w:szCs w:val="14"/>
              </w:rPr>
              <w:br/>
              <w:t>• Special program and temporary entry docs</w:t>
            </w:r>
            <w:r w:rsidRPr="009E2CA3">
              <w:rPr>
                <w:color w:val="002060"/>
                <w:sz w:val="14"/>
                <w:szCs w:val="14"/>
              </w:rPr>
              <w:br/>
              <w:t>• Transactions with restricted countries</w:t>
            </w:r>
            <w:r w:rsidRPr="009E2CA3">
              <w:rPr>
                <w:color w:val="002060"/>
                <w:sz w:val="14"/>
                <w:szCs w:val="14"/>
              </w:rPr>
              <w:br/>
              <w:t>• Process in place without regular testing or no satisfactory results on document retrieval testing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ED32" w14:textId="3DCDB0AA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Managed and stored by 3rd party provider w/ well documented process/location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87DC" w14:textId="0C7C845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Centralized repository with GE oversight and periodic checks</w:t>
            </w:r>
            <w:r w:rsidRPr="009E2CA3">
              <w:rPr>
                <w:color w:val="002060"/>
                <w:sz w:val="14"/>
                <w:szCs w:val="14"/>
              </w:rPr>
              <w:br/>
              <w:t>• Informal/low value entries</w:t>
            </w:r>
            <w:r w:rsidRPr="009E2CA3">
              <w:rPr>
                <w:color w:val="002060"/>
                <w:sz w:val="14"/>
                <w:szCs w:val="14"/>
              </w:rPr>
              <w:br/>
              <w:t>• Well documented process with satisfactory results on document retrieval testing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BD97" w14:textId="5B2726DD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C4F" w14:textId="61482BF9" w:rsidR="000B3601" w:rsidRPr="009E2CA3" w:rsidRDefault="007C2C07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4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7243D3C" w14:textId="77777777" w:rsidTr="0071058D">
        <w:trPr>
          <w:trHeight w:val="270"/>
        </w:trPr>
        <w:tc>
          <w:tcPr>
            <w:tcW w:w="937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1C24F3D7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TOTAL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AB4FE1" w14:textId="2E86ADB8" w:rsidR="000B3601" w:rsidRPr="009E2CA3" w:rsidRDefault="009E2CA3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4</w:t>
            </w:r>
            <w:r w:rsidR="004E3E8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5</w:t>
            </w:r>
            <w:r w:rsidR="000B3601"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%</w:t>
            </w:r>
          </w:p>
        </w:tc>
      </w:tr>
    </w:tbl>
    <w:p w14:paraId="3B56012D" w14:textId="27E1B9EA" w:rsidR="00E34941" w:rsidRPr="00B67A16" w:rsidRDefault="00E34941" w:rsidP="00EB243A">
      <w:pPr>
        <w:rPr>
          <w:color w:val="002060"/>
        </w:rPr>
      </w:pPr>
    </w:p>
    <w:p w14:paraId="19A5FC1C" w14:textId="0FC57732" w:rsidR="00B01290" w:rsidRPr="00B67A16" w:rsidRDefault="00B01290" w:rsidP="00EB243A">
      <w:pPr>
        <w:rPr>
          <w:color w:val="002060"/>
        </w:rPr>
      </w:pPr>
    </w:p>
    <w:p w14:paraId="65F6F21E" w14:textId="59BC3EBF" w:rsidR="00B01290" w:rsidRPr="00B67A16" w:rsidRDefault="00A55D72" w:rsidP="00B01290">
      <w:pPr>
        <w:pStyle w:val="Heading1"/>
        <w:numPr>
          <w:ilvl w:val="0"/>
          <w:numId w:val="3"/>
        </w:numPr>
        <w:rPr>
          <w:rFonts w:ascii="GE Inspira Sans" w:hAnsi="GE Inspira Sans"/>
          <w:b/>
          <w:bCs/>
          <w:color w:val="002060"/>
          <w:sz w:val="24"/>
          <w:szCs w:val="24"/>
        </w:rPr>
      </w:pPr>
      <w:bookmarkStart w:id="0" w:name="_Toc81502097"/>
      <w:r w:rsidRPr="00B67A16">
        <w:rPr>
          <w:rFonts w:ascii="GE Inspira Sans" w:hAnsi="GE Inspira Sans"/>
          <w:b/>
          <w:bCs/>
          <w:color w:val="002060"/>
          <w:sz w:val="24"/>
          <w:szCs w:val="24"/>
        </w:rPr>
        <w:t>Risk Assessment Results</w:t>
      </w:r>
      <w:bookmarkEnd w:id="0"/>
    </w:p>
    <w:p w14:paraId="0747ACCE" w14:textId="06272C8E" w:rsidR="0018452A" w:rsidRPr="00B67A16" w:rsidRDefault="002C0392" w:rsidP="00EB243A">
      <w:pPr>
        <w:rPr>
          <w:color w:val="002060"/>
        </w:rPr>
      </w:pPr>
      <w:r w:rsidRPr="00B67A16">
        <w:rPr>
          <w:color w:val="002060"/>
        </w:rPr>
        <w:t xml:space="preserve">The quality processes generally accepted and used by </w:t>
      </w:r>
      <w:r w:rsidR="003D64A1">
        <w:rPr>
          <w:color w:val="002060"/>
        </w:rPr>
        <w:t>XXXXXXX</w:t>
      </w:r>
      <w:r w:rsidR="004B4B43">
        <w:rPr>
          <w:color w:val="002060"/>
        </w:rPr>
        <w:t xml:space="preserve"> </w:t>
      </w:r>
      <w:r w:rsidR="0018452A" w:rsidRPr="00B67A16">
        <w:rPr>
          <w:color w:val="002060"/>
        </w:rPr>
        <w:t>should</w:t>
      </w:r>
      <w:r w:rsidR="0091239E" w:rsidRPr="00B67A16">
        <w:rPr>
          <w:color w:val="002060"/>
        </w:rPr>
        <w:t xml:space="preserve"> also </w:t>
      </w:r>
      <w:r w:rsidRPr="00B67A16">
        <w:rPr>
          <w:color w:val="002060"/>
        </w:rPr>
        <w:t xml:space="preserve">be </w:t>
      </w:r>
      <w:r w:rsidR="0091239E" w:rsidRPr="00B67A16">
        <w:rPr>
          <w:color w:val="002060"/>
        </w:rPr>
        <w:t xml:space="preserve">used </w:t>
      </w:r>
      <w:r w:rsidR="0018452A" w:rsidRPr="00B67A16">
        <w:rPr>
          <w:color w:val="002060"/>
        </w:rPr>
        <w:t xml:space="preserve">for improving any area of </w:t>
      </w:r>
      <w:r w:rsidR="0091239E" w:rsidRPr="00B67A16">
        <w:rPr>
          <w:color w:val="002060"/>
        </w:rPr>
        <w:t xml:space="preserve">Customs </w:t>
      </w:r>
      <w:r w:rsidR="0018452A" w:rsidRPr="00B67A16">
        <w:rPr>
          <w:color w:val="002060"/>
        </w:rPr>
        <w:t>risk.</w:t>
      </w:r>
    </w:p>
    <w:p w14:paraId="517B4352" w14:textId="19DCADFC" w:rsidR="002C0392" w:rsidRPr="00B67A16" w:rsidRDefault="002C0392" w:rsidP="00EB243A">
      <w:pPr>
        <w:rPr>
          <w:color w:val="002060"/>
        </w:rPr>
      </w:pPr>
    </w:p>
    <w:p w14:paraId="48F94824" w14:textId="118D1BAE" w:rsidR="002C0392" w:rsidRPr="00B67A16" w:rsidRDefault="002C0392" w:rsidP="002C0392">
      <w:pPr>
        <w:rPr>
          <w:color w:val="002060"/>
        </w:rPr>
      </w:pPr>
      <w:r w:rsidRPr="00B67A16">
        <w:rPr>
          <w:color w:val="002060"/>
        </w:rPr>
        <w:t>When the data collection of the Risk Assessment is complete, the results should be used to identify the Customs risk.</w:t>
      </w:r>
    </w:p>
    <w:p w14:paraId="1786E815" w14:textId="77777777" w:rsidR="002C0392" w:rsidRPr="00B67A16" w:rsidRDefault="002C0392" w:rsidP="002C0392">
      <w:pPr>
        <w:rPr>
          <w:color w:val="002060"/>
        </w:rPr>
      </w:pPr>
    </w:p>
    <w:p w14:paraId="35EAC57F" w14:textId="1BED5602" w:rsidR="0018452A" w:rsidRPr="00B67A16" w:rsidRDefault="002C0392" w:rsidP="00EB243A">
      <w:pPr>
        <w:rPr>
          <w:color w:val="002060"/>
        </w:rPr>
      </w:pPr>
      <w:r w:rsidRPr="00770129">
        <w:rPr>
          <w:color w:val="002060"/>
        </w:rPr>
        <w:t xml:space="preserve">This should then lead to determining and developing control measures to mitigate the risk, including </w:t>
      </w:r>
      <w:r w:rsidR="00220EB3" w:rsidRPr="00770129">
        <w:rPr>
          <w:color w:val="002060"/>
        </w:rPr>
        <w:t xml:space="preserve">achievable tasks assigned </w:t>
      </w:r>
      <w:r w:rsidR="0091239E" w:rsidRPr="00770129">
        <w:rPr>
          <w:color w:val="002060"/>
        </w:rPr>
        <w:t>with</w:t>
      </w:r>
      <w:r w:rsidR="00220EB3" w:rsidRPr="00770129">
        <w:rPr>
          <w:color w:val="002060"/>
        </w:rPr>
        <w:t xml:space="preserve"> action owners </w:t>
      </w:r>
      <w:r w:rsidR="0091239E" w:rsidRPr="00770129">
        <w:rPr>
          <w:color w:val="002060"/>
        </w:rPr>
        <w:t>and</w:t>
      </w:r>
      <w:r w:rsidR="00220EB3" w:rsidRPr="00770129">
        <w:rPr>
          <w:color w:val="002060"/>
        </w:rPr>
        <w:t xml:space="preserve"> </w:t>
      </w:r>
      <w:r w:rsidR="0018452A" w:rsidRPr="00770129">
        <w:rPr>
          <w:color w:val="002060"/>
        </w:rPr>
        <w:t>expected completion dates</w:t>
      </w:r>
      <w:r w:rsidR="00220EB3" w:rsidRPr="00770129">
        <w:rPr>
          <w:color w:val="002060"/>
        </w:rPr>
        <w:t xml:space="preserve">. </w:t>
      </w:r>
      <w:r w:rsidR="00FE6C18" w:rsidRPr="00770129">
        <w:rPr>
          <w:color w:val="002060"/>
        </w:rPr>
        <w:t xml:space="preserve">Action owners are not limited to the </w:t>
      </w:r>
      <w:r w:rsidR="00770129" w:rsidRPr="00770129">
        <w:rPr>
          <w:color w:val="002060"/>
        </w:rPr>
        <w:t>Customs team and</w:t>
      </w:r>
      <w:r w:rsidR="00FE6C18" w:rsidRPr="00770129">
        <w:rPr>
          <w:color w:val="002060"/>
        </w:rPr>
        <w:t xml:space="preserve"> </w:t>
      </w:r>
      <w:r w:rsidR="00770129" w:rsidRPr="00770129">
        <w:rPr>
          <w:color w:val="002060"/>
        </w:rPr>
        <w:t>sh</w:t>
      </w:r>
      <w:r w:rsidR="00FE6C18" w:rsidRPr="00770129">
        <w:rPr>
          <w:color w:val="002060"/>
        </w:rPr>
        <w:t xml:space="preserve">ould include </w:t>
      </w:r>
      <w:r w:rsidR="00770129" w:rsidRPr="00770129">
        <w:rPr>
          <w:color w:val="002060"/>
        </w:rPr>
        <w:t>other business functions as necessary</w:t>
      </w:r>
      <w:r w:rsidR="00770129">
        <w:rPr>
          <w:color w:val="002060"/>
        </w:rPr>
        <w:t xml:space="preserve">, such as </w:t>
      </w:r>
      <w:r w:rsidR="009E2CA3">
        <w:rPr>
          <w:color w:val="002060"/>
        </w:rPr>
        <w:t xml:space="preserve">logistics, </w:t>
      </w:r>
      <w:r w:rsidR="00FE6C18" w:rsidRPr="00770129">
        <w:rPr>
          <w:color w:val="002060"/>
        </w:rPr>
        <w:t>finance, sourcing, engineering, etc.</w:t>
      </w:r>
    </w:p>
    <w:p w14:paraId="2C1288A9" w14:textId="5E1196A8" w:rsidR="002C0392" w:rsidRPr="00B67A16" w:rsidRDefault="002C0392" w:rsidP="00EB243A">
      <w:pPr>
        <w:rPr>
          <w:color w:val="002060"/>
        </w:rPr>
      </w:pPr>
    </w:p>
    <w:p w14:paraId="1A4393E3" w14:textId="1FDCABAA" w:rsidR="0018452A" w:rsidRPr="00B67A16" w:rsidRDefault="0091239E" w:rsidP="00EB243A">
      <w:pPr>
        <w:rPr>
          <w:color w:val="002060"/>
        </w:rPr>
      </w:pPr>
      <w:r w:rsidRPr="00B67A16">
        <w:rPr>
          <w:color w:val="002060"/>
        </w:rPr>
        <w:t>Results and f</w:t>
      </w:r>
      <w:r w:rsidR="002C0392" w:rsidRPr="00B67A16">
        <w:rPr>
          <w:color w:val="002060"/>
        </w:rPr>
        <w:t>indings should be recorded</w:t>
      </w:r>
      <w:r w:rsidR="003D64A1">
        <w:rPr>
          <w:color w:val="002060"/>
        </w:rPr>
        <w:t xml:space="preserve"> and XXXXXXX</w:t>
      </w:r>
      <w:r w:rsidR="004B4B43">
        <w:rPr>
          <w:color w:val="002060"/>
        </w:rPr>
        <w:t xml:space="preserve"> </w:t>
      </w:r>
      <w:r w:rsidR="0018452A" w:rsidRPr="00B67A16">
        <w:rPr>
          <w:color w:val="002060"/>
        </w:rPr>
        <w:t xml:space="preserve">should have regular reviews </w:t>
      </w:r>
      <w:r w:rsidR="00220EB3" w:rsidRPr="00B67A16">
        <w:rPr>
          <w:color w:val="002060"/>
        </w:rPr>
        <w:t>of these tasks.</w:t>
      </w:r>
    </w:p>
    <w:p w14:paraId="0E4A006A" w14:textId="47FE9BC1" w:rsidR="0091239E" w:rsidRPr="00B67A16" w:rsidRDefault="0091239E" w:rsidP="00EB243A">
      <w:pPr>
        <w:rPr>
          <w:color w:val="002060"/>
        </w:rPr>
      </w:pPr>
    </w:p>
    <w:p w14:paraId="3165ECD9" w14:textId="5AD283BE" w:rsidR="0091239E" w:rsidRDefault="0091239E" w:rsidP="0091239E">
      <w:pPr>
        <w:rPr>
          <w:color w:val="002060"/>
        </w:rPr>
      </w:pPr>
      <w:r w:rsidRPr="00B67A16">
        <w:rPr>
          <w:color w:val="002060"/>
        </w:rPr>
        <w:t>This risk assessment should be completed each year, taking into consideration any significant country regulation changes or business model changes.</w:t>
      </w:r>
    </w:p>
    <w:p w14:paraId="5915074F" w14:textId="16C64223" w:rsidR="00FA56BB" w:rsidRDefault="00FA56BB" w:rsidP="0091239E">
      <w:pPr>
        <w:rPr>
          <w:color w:val="002060"/>
        </w:rPr>
      </w:pPr>
    </w:p>
    <w:sectPr w:rsidR="00FA56BB" w:rsidSect="00B20A3D"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06FB" w14:textId="77777777" w:rsidR="00D42FB7" w:rsidRDefault="00D42FB7" w:rsidP="00B20A3D">
      <w:r>
        <w:separator/>
      </w:r>
    </w:p>
  </w:endnote>
  <w:endnote w:type="continuationSeparator" w:id="0">
    <w:p w14:paraId="49C170DF" w14:textId="77777777" w:rsidR="00D42FB7" w:rsidRDefault="00D42FB7" w:rsidP="00B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Inspira Sans"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23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467477" w14:textId="77777777" w:rsidR="001A22BA" w:rsidRPr="001A22BA" w:rsidRDefault="001A22BA" w:rsidP="001A22B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A22BA">
          <w:fldChar w:fldCharType="begin"/>
        </w:r>
        <w:r w:rsidRPr="001A22BA">
          <w:instrText xml:space="preserve"> PAGE   \* MERGEFORMAT </w:instrText>
        </w:r>
        <w:r w:rsidRPr="001A22BA">
          <w:fldChar w:fldCharType="separate"/>
        </w:r>
        <w:r w:rsidRPr="001A22BA">
          <w:t>0</w:t>
        </w:r>
        <w:r w:rsidRPr="001A22BA">
          <w:rPr>
            <w:noProof/>
          </w:rPr>
          <w:fldChar w:fldCharType="end"/>
        </w:r>
        <w:r w:rsidRPr="001A22BA">
          <w:t xml:space="preserve"> | </w:t>
        </w:r>
        <w:r w:rsidRPr="001A22BA">
          <w:rPr>
            <w:color w:val="7F7F7F" w:themeColor="background1" w:themeShade="7F"/>
            <w:spacing w:val="60"/>
          </w:rPr>
          <w:t>Page</w:t>
        </w:r>
      </w:p>
    </w:sdtContent>
  </w:sdt>
  <w:p w14:paraId="768D5F3E" w14:textId="77777777" w:rsidR="001A22BA" w:rsidRPr="001A22BA" w:rsidRDefault="001A22BA" w:rsidP="001A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9C9" w14:textId="77777777" w:rsidR="00D42FB7" w:rsidRDefault="00D42FB7" w:rsidP="00B20A3D">
      <w:r>
        <w:separator/>
      </w:r>
    </w:p>
  </w:footnote>
  <w:footnote w:type="continuationSeparator" w:id="0">
    <w:p w14:paraId="26B9FEB7" w14:textId="77777777" w:rsidR="00D42FB7" w:rsidRDefault="00D42FB7" w:rsidP="00B2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9C1"/>
    <w:multiLevelType w:val="hybridMultilevel"/>
    <w:tmpl w:val="ABDC8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F2C0A"/>
    <w:multiLevelType w:val="hybridMultilevel"/>
    <w:tmpl w:val="51AA3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22190"/>
    <w:multiLevelType w:val="hybridMultilevel"/>
    <w:tmpl w:val="AC2A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E3A"/>
    <w:multiLevelType w:val="hybridMultilevel"/>
    <w:tmpl w:val="BDF02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B3170"/>
    <w:multiLevelType w:val="hybridMultilevel"/>
    <w:tmpl w:val="E6F6F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6492"/>
    <w:multiLevelType w:val="hybridMultilevel"/>
    <w:tmpl w:val="76E22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95C11"/>
    <w:multiLevelType w:val="hybridMultilevel"/>
    <w:tmpl w:val="9BBAA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C0BF4"/>
    <w:multiLevelType w:val="hybridMultilevel"/>
    <w:tmpl w:val="607A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7163"/>
    <w:multiLevelType w:val="hybridMultilevel"/>
    <w:tmpl w:val="DAD49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6C48"/>
    <w:multiLevelType w:val="hybridMultilevel"/>
    <w:tmpl w:val="902EA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5337">
    <w:abstractNumId w:val="8"/>
  </w:num>
  <w:num w:numId="2" w16cid:durableId="47651565">
    <w:abstractNumId w:val="3"/>
  </w:num>
  <w:num w:numId="3" w16cid:durableId="1301152603">
    <w:abstractNumId w:val="5"/>
  </w:num>
  <w:num w:numId="4" w16cid:durableId="2043090149">
    <w:abstractNumId w:val="7"/>
  </w:num>
  <w:num w:numId="5" w16cid:durableId="1092429949">
    <w:abstractNumId w:val="0"/>
  </w:num>
  <w:num w:numId="6" w16cid:durableId="1797747610">
    <w:abstractNumId w:val="2"/>
  </w:num>
  <w:num w:numId="7" w16cid:durableId="1124080589">
    <w:abstractNumId w:val="1"/>
  </w:num>
  <w:num w:numId="8" w16cid:durableId="448014063">
    <w:abstractNumId w:val="9"/>
  </w:num>
  <w:num w:numId="9" w16cid:durableId="1122263680">
    <w:abstractNumId w:val="4"/>
  </w:num>
  <w:num w:numId="10" w16cid:durableId="1197740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6"/>
    <w:rsid w:val="00055070"/>
    <w:rsid w:val="00057595"/>
    <w:rsid w:val="00063907"/>
    <w:rsid w:val="000677B1"/>
    <w:rsid w:val="00073495"/>
    <w:rsid w:val="0007699F"/>
    <w:rsid w:val="000773F3"/>
    <w:rsid w:val="000938CB"/>
    <w:rsid w:val="000A5586"/>
    <w:rsid w:val="000B3601"/>
    <w:rsid w:val="000C61CC"/>
    <w:rsid w:val="000D6865"/>
    <w:rsid w:val="000E2852"/>
    <w:rsid w:val="000F4DC4"/>
    <w:rsid w:val="00117E60"/>
    <w:rsid w:val="001220B9"/>
    <w:rsid w:val="00130AA4"/>
    <w:rsid w:val="001434E4"/>
    <w:rsid w:val="00175046"/>
    <w:rsid w:val="0018452A"/>
    <w:rsid w:val="00186BCA"/>
    <w:rsid w:val="001A22BA"/>
    <w:rsid w:val="001B254F"/>
    <w:rsid w:val="001C40E4"/>
    <w:rsid w:val="00220EB3"/>
    <w:rsid w:val="00224A4D"/>
    <w:rsid w:val="002439CD"/>
    <w:rsid w:val="00282834"/>
    <w:rsid w:val="00292A7C"/>
    <w:rsid w:val="002A6369"/>
    <w:rsid w:val="002A72EC"/>
    <w:rsid w:val="002C0392"/>
    <w:rsid w:val="00301BF7"/>
    <w:rsid w:val="00322ED8"/>
    <w:rsid w:val="00344565"/>
    <w:rsid w:val="003B323C"/>
    <w:rsid w:val="003B683F"/>
    <w:rsid w:val="003B7CAD"/>
    <w:rsid w:val="003D64A1"/>
    <w:rsid w:val="003E3B0B"/>
    <w:rsid w:val="0048434F"/>
    <w:rsid w:val="004B4B43"/>
    <w:rsid w:val="004E3E8E"/>
    <w:rsid w:val="00503461"/>
    <w:rsid w:val="0051214B"/>
    <w:rsid w:val="00543048"/>
    <w:rsid w:val="00555E25"/>
    <w:rsid w:val="00567FDD"/>
    <w:rsid w:val="005A4B6D"/>
    <w:rsid w:val="005B56CE"/>
    <w:rsid w:val="005F62EC"/>
    <w:rsid w:val="00652527"/>
    <w:rsid w:val="00667318"/>
    <w:rsid w:val="00682833"/>
    <w:rsid w:val="00683DE8"/>
    <w:rsid w:val="0071058D"/>
    <w:rsid w:val="007200B2"/>
    <w:rsid w:val="00724FBF"/>
    <w:rsid w:val="00763756"/>
    <w:rsid w:val="00770129"/>
    <w:rsid w:val="007916B3"/>
    <w:rsid w:val="007C2C07"/>
    <w:rsid w:val="007D3432"/>
    <w:rsid w:val="007D487F"/>
    <w:rsid w:val="007D5312"/>
    <w:rsid w:val="00806246"/>
    <w:rsid w:val="008306F8"/>
    <w:rsid w:val="00831647"/>
    <w:rsid w:val="00843299"/>
    <w:rsid w:val="00844A53"/>
    <w:rsid w:val="00867B73"/>
    <w:rsid w:val="008732F8"/>
    <w:rsid w:val="008C1AB7"/>
    <w:rsid w:val="008C47F6"/>
    <w:rsid w:val="0091239E"/>
    <w:rsid w:val="009232BC"/>
    <w:rsid w:val="00962AC5"/>
    <w:rsid w:val="00993A47"/>
    <w:rsid w:val="009B4004"/>
    <w:rsid w:val="009B7B7D"/>
    <w:rsid w:val="009D1F42"/>
    <w:rsid w:val="009D3323"/>
    <w:rsid w:val="009E2CA3"/>
    <w:rsid w:val="00A02829"/>
    <w:rsid w:val="00A11817"/>
    <w:rsid w:val="00A37670"/>
    <w:rsid w:val="00A55D72"/>
    <w:rsid w:val="00A604D6"/>
    <w:rsid w:val="00A7326C"/>
    <w:rsid w:val="00A84BD5"/>
    <w:rsid w:val="00A8698D"/>
    <w:rsid w:val="00A91DDD"/>
    <w:rsid w:val="00AA6CA6"/>
    <w:rsid w:val="00AF25DA"/>
    <w:rsid w:val="00B01290"/>
    <w:rsid w:val="00B20A3D"/>
    <w:rsid w:val="00B37973"/>
    <w:rsid w:val="00B563F0"/>
    <w:rsid w:val="00B67A16"/>
    <w:rsid w:val="00B75DCF"/>
    <w:rsid w:val="00BA09F0"/>
    <w:rsid w:val="00BF3A37"/>
    <w:rsid w:val="00BF43A2"/>
    <w:rsid w:val="00C02712"/>
    <w:rsid w:val="00C43B13"/>
    <w:rsid w:val="00C6031B"/>
    <w:rsid w:val="00C73192"/>
    <w:rsid w:val="00C91844"/>
    <w:rsid w:val="00C958D4"/>
    <w:rsid w:val="00C97C79"/>
    <w:rsid w:val="00CB732C"/>
    <w:rsid w:val="00D20734"/>
    <w:rsid w:val="00D328B3"/>
    <w:rsid w:val="00D33721"/>
    <w:rsid w:val="00D42FB7"/>
    <w:rsid w:val="00D5009C"/>
    <w:rsid w:val="00D851DC"/>
    <w:rsid w:val="00D90CE8"/>
    <w:rsid w:val="00DE1EA7"/>
    <w:rsid w:val="00DF56A6"/>
    <w:rsid w:val="00E34941"/>
    <w:rsid w:val="00E6689C"/>
    <w:rsid w:val="00E71A51"/>
    <w:rsid w:val="00EA0D0D"/>
    <w:rsid w:val="00EB243A"/>
    <w:rsid w:val="00EB384E"/>
    <w:rsid w:val="00EB5241"/>
    <w:rsid w:val="00EC70C1"/>
    <w:rsid w:val="00EF6C96"/>
    <w:rsid w:val="00F10311"/>
    <w:rsid w:val="00F32323"/>
    <w:rsid w:val="00F4283E"/>
    <w:rsid w:val="00F52C8B"/>
    <w:rsid w:val="00F83C9D"/>
    <w:rsid w:val="00FA56BB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E86"/>
  <w15:chartTrackingRefBased/>
  <w15:docId w15:val="{C40CFB00-691E-4A6D-9533-ABB4DC9B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 Inspira Sans" w:eastAsiaTheme="minorHAnsi" w:hAnsi="GE Inspira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7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37670"/>
    <w:pPr>
      <w:spacing w:after="120"/>
    </w:pPr>
    <w:rPr>
      <w:rFonts w:ascii="Helvetica" w:eastAsiaTheme="minorEastAsia" w:hAnsi="Helvetica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37670"/>
    <w:rPr>
      <w:rFonts w:ascii="Helvetica" w:eastAsiaTheme="minorEastAsia" w:hAnsi="Helvetica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6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67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732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73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B732C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3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32C"/>
    <w:rPr>
      <w:sz w:val="16"/>
      <w:szCs w:val="16"/>
    </w:rPr>
  </w:style>
  <w:style w:type="table" w:styleId="TableGrid">
    <w:name w:val="Table Grid"/>
    <w:basedOn w:val="TableNormal"/>
    <w:uiPriority w:val="59"/>
    <w:rsid w:val="00EB243A"/>
    <w:pPr>
      <w:spacing w:after="0" w:line="240" w:lineRule="auto"/>
    </w:pPr>
    <w:rPr>
      <w:rFonts w:asciiTheme="minorHAnsi" w:hAnsi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7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973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B20A3D"/>
    <w:pPr>
      <w:spacing w:after="0" w:line="240" w:lineRule="auto"/>
    </w:pPr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0A3D"/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0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3D"/>
  </w:style>
  <w:style w:type="paragraph" w:styleId="Footer">
    <w:name w:val="footer"/>
    <w:basedOn w:val="Normal"/>
    <w:link w:val="FooterChar"/>
    <w:uiPriority w:val="99"/>
    <w:unhideWhenUsed/>
    <w:rsid w:val="00B20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20AA-ACCC-4F70-B725-D88A996D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Elizabeth (GE Corporate)</dc:creator>
  <cp:keywords/>
  <dc:description/>
  <cp:lastModifiedBy>McBride, Cynthia (GE Power Portfolio)</cp:lastModifiedBy>
  <cp:revision>2</cp:revision>
  <dcterms:created xsi:type="dcterms:W3CDTF">2023-03-22T13:57:00Z</dcterms:created>
  <dcterms:modified xsi:type="dcterms:W3CDTF">2023-03-22T13:57:00Z</dcterms:modified>
</cp:coreProperties>
</file>