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485F" w14:textId="77777777" w:rsidR="007B6337" w:rsidRPr="007B6337" w:rsidRDefault="007B6337" w:rsidP="007B6337">
      <w:pPr>
        <w:shd w:val="clear" w:color="auto" w:fill="FFFFFF"/>
        <w:spacing w:after="150"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The Director, Global Trade Controls Regulation will work closely with both the Legal Director, Corporate Counsel (Export Controls and Trade Compliance specialist) and the Vice President, Associate General Counsel on all aspects requiring legal advice or analysis. The position will develop and lead the core infrastructure and support the development of related business processes and systems that are designed to ensure all Regeneron product and material shipments, technology exports and other business activities are conducted in compliance with applicable laws and regulations governing trade compliance. You will provide operational guidance and subject matter expertise across Regeneron’s global organization and act as the primary contact for all inquiries, inspections and requests for information related to trade compliance by regulatory bodies.</w:t>
      </w:r>
    </w:p>
    <w:p w14:paraId="2D194A31" w14:textId="77777777" w:rsidR="007B6337" w:rsidRPr="007B6337" w:rsidRDefault="007B6337" w:rsidP="007B6337">
      <w:pPr>
        <w:shd w:val="clear" w:color="auto" w:fill="FFFFFF"/>
        <w:spacing w:after="150" w:line="240" w:lineRule="auto"/>
        <w:rPr>
          <w:rFonts w:ascii="HelveticaNeue-65Medium" w:eastAsia="Times New Roman" w:hAnsi="HelveticaNeue-65Medium" w:cs="Times New Roman"/>
          <w:color w:val="4A4A4A"/>
          <w:sz w:val="24"/>
          <w:szCs w:val="24"/>
        </w:rPr>
      </w:pPr>
      <w:r w:rsidRPr="007B6337">
        <w:rPr>
          <w:rFonts w:ascii="inherit" w:eastAsia="Times New Roman" w:hAnsi="inherit" w:cs="Times New Roman"/>
          <w:b/>
          <w:bCs/>
          <w:color w:val="4A4A4A"/>
          <w:sz w:val="24"/>
          <w:szCs w:val="24"/>
          <w:u w:val="single"/>
        </w:rPr>
        <w:t>A typical day may include:</w:t>
      </w:r>
    </w:p>
    <w:p w14:paraId="3E3FFFEF" w14:textId="77777777" w:rsidR="007B6337" w:rsidRPr="007B6337" w:rsidRDefault="007B6337" w:rsidP="007B6337">
      <w:pPr>
        <w:numPr>
          <w:ilvl w:val="0"/>
          <w:numId w:val="1"/>
        </w:numPr>
        <w:spacing w:before="100" w:beforeAutospacing="1" w:after="100" w:afterAutospacing="1"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Design and implement a Global Trade Compliance core infrastructure that incorporates, </w:t>
      </w:r>
      <w:r w:rsidRPr="007B6337">
        <w:rPr>
          <w:rFonts w:ascii="HelveticaNeue-65Medium" w:eastAsia="Times New Roman" w:hAnsi="HelveticaNeue-65Medium" w:cs="Times New Roman"/>
          <w:i/>
          <w:iCs/>
          <w:color w:val="4A4A4A"/>
          <w:sz w:val="24"/>
          <w:szCs w:val="24"/>
        </w:rPr>
        <w:t>inter alia</w:t>
      </w:r>
      <w:r w:rsidRPr="007B6337">
        <w:rPr>
          <w:rFonts w:ascii="HelveticaNeue-65Medium" w:eastAsia="Times New Roman" w:hAnsi="HelveticaNeue-65Medium" w:cs="Times New Roman"/>
          <w:color w:val="4A4A4A"/>
          <w:sz w:val="24"/>
          <w:szCs w:val="24"/>
        </w:rPr>
        <w:t>, specific country</w:t>
      </w:r>
      <w:r w:rsidRPr="007B6337">
        <w:rPr>
          <w:rFonts w:ascii="HelveticaNeue-65Medium" w:eastAsia="Times New Roman" w:hAnsi="HelveticaNeue-65Medium" w:cs="Times New Roman"/>
          <w:color w:val="4A4A4A"/>
          <w:sz w:val="24"/>
          <w:szCs w:val="24"/>
        </w:rPr>
        <w:noBreakHyphen/>
        <w:t>level requirements, industry best-practices, and core implementing policies tailored to Regeneron’s business.</w:t>
      </w:r>
    </w:p>
    <w:p w14:paraId="384A4E43" w14:textId="77777777" w:rsidR="007B6337" w:rsidRPr="007B6337" w:rsidRDefault="007B6337" w:rsidP="007B6337">
      <w:pPr>
        <w:numPr>
          <w:ilvl w:val="0"/>
          <w:numId w:val="1"/>
        </w:numPr>
        <w:spacing w:before="100" w:beforeAutospacing="1" w:after="100" w:afterAutospacing="1"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 xml:space="preserve">Engage and collaborate with key partners across Regeneron to provide awareness, </w:t>
      </w:r>
      <w:proofErr w:type="gramStart"/>
      <w:r w:rsidRPr="007B6337">
        <w:rPr>
          <w:rFonts w:ascii="HelveticaNeue-65Medium" w:eastAsia="Times New Roman" w:hAnsi="HelveticaNeue-65Medium" w:cs="Times New Roman"/>
          <w:color w:val="4A4A4A"/>
          <w:sz w:val="24"/>
          <w:szCs w:val="24"/>
        </w:rPr>
        <w:t>guidance</w:t>
      </w:r>
      <w:proofErr w:type="gramEnd"/>
      <w:r w:rsidRPr="007B6337">
        <w:rPr>
          <w:rFonts w:ascii="HelveticaNeue-65Medium" w:eastAsia="Times New Roman" w:hAnsi="HelveticaNeue-65Medium" w:cs="Times New Roman"/>
          <w:color w:val="4A4A4A"/>
          <w:sz w:val="24"/>
          <w:szCs w:val="24"/>
        </w:rPr>
        <w:t xml:space="preserve"> and training on trade compliance matters, achieving appropriate mitigation of compliance risks.</w:t>
      </w:r>
    </w:p>
    <w:p w14:paraId="15A94366" w14:textId="77777777" w:rsidR="007B6337" w:rsidRPr="007B6337" w:rsidRDefault="007B6337" w:rsidP="007B6337">
      <w:pPr>
        <w:numPr>
          <w:ilvl w:val="0"/>
          <w:numId w:val="1"/>
        </w:numPr>
        <w:spacing w:before="100" w:beforeAutospacing="1" w:after="100" w:afterAutospacing="1"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 xml:space="preserve">Define export-controlled data, </w:t>
      </w:r>
      <w:proofErr w:type="gramStart"/>
      <w:r w:rsidRPr="007B6337">
        <w:rPr>
          <w:rFonts w:ascii="HelveticaNeue-65Medium" w:eastAsia="Times New Roman" w:hAnsi="HelveticaNeue-65Medium" w:cs="Times New Roman"/>
          <w:color w:val="4A4A4A"/>
          <w:sz w:val="24"/>
          <w:szCs w:val="24"/>
        </w:rPr>
        <w:t>information</w:t>
      </w:r>
      <w:proofErr w:type="gramEnd"/>
      <w:r w:rsidRPr="007B6337">
        <w:rPr>
          <w:rFonts w:ascii="HelveticaNeue-65Medium" w:eastAsia="Times New Roman" w:hAnsi="HelveticaNeue-65Medium" w:cs="Times New Roman"/>
          <w:color w:val="4A4A4A"/>
          <w:sz w:val="24"/>
          <w:szCs w:val="24"/>
        </w:rPr>
        <w:t xml:space="preserve"> or material; apply for export licenses; create technology control plans as the need arises.</w:t>
      </w:r>
    </w:p>
    <w:p w14:paraId="198B587A" w14:textId="77777777" w:rsidR="007B6337" w:rsidRPr="007B6337" w:rsidRDefault="007B6337" w:rsidP="007B6337">
      <w:pPr>
        <w:numPr>
          <w:ilvl w:val="0"/>
          <w:numId w:val="1"/>
        </w:numPr>
        <w:spacing w:before="100" w:beforeAutospacing="1" w:after="100" w:afterAutospacing="1"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Guide and instruct site staff on tariff classification (Harmonized Tariff Code), country of origin determination, valuation according to World Trade Organization rules and applicable tax or other regulations, Importer &amp; Exporter of Record requirements and responsibilities, Dangerous Goods guidelines, Export Administration Regulations (EAR), Commerce Control List (CCL) and applicable regulations and requirements of the Bureau of Industry and Security (BIS), FDA, USDA, U.S. Customs, and any other applicable regulations/requirements of the E.U. or of other jurisdictions where Regeneron does business.</w:t>
      </w:r>
    </w:p>
    <w:p w14:paraId="11CE118C" w14:textId="77777777" w:rsidR="007B6337" w:rsidRPr="007B6337" w:rsidRDefault="007B6337" w:rsidP="007B6337">
      <w:pPr>
        <w:numPr>
          <w:ilvl w:val="0"/>
          <w:numId w:val="1"/>
        </w:numPr>
        <w:spacing w:before="100" w:beforeAutospacing="1" w:after="100" w:afterAutospacing="1"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Interact internally and externally at various levels - from compliant execution at the shipping dock to negotiating Global Trade Compliance governance policies with operations and, as applicable, executive level management.</w:t>
      </w:r>
    </w:p>
    <w:p w14:paraId="2983D771" w14:textId="77777777" w:rsidR="007B6337" w:rsidRPr="007B6337" w:rsidRDefault="007B6337" w:rsidP="007B6337">
      <w:pPr>
        <w:numPr>
          <w:ilvl w:val="0"/>
          <w:numId w:val="1"/>
        </w:numPr>
        <w:spacing w:before="100" w:beforeAutospacing="1" w:after="100" w:afterAutospacing="1"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Work with the Law Department and certain Key Stakeholders to identify and select outside resource(s) to advise on trade compliance best practices.</w:t>
      </w:r>
    </w:p>
    <w:p w14:paraId="41ECCAA4" w14:textId="77777777" w:rsidR="007B6337" w:rsidRPr="007B6337" w:rsidRDefault="007B6337" w:rsidP="007B6337">
      <w:pPr>
        <w:numPr>
          <w:ilvl w:val="0"/>
          <w:numId w:val="1"/>
        </w:numPr>
        <w:spacing w:before="100" w:beforeAutospacing="1" w:after="100" w:afterAutospacing="1"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 xml:space="preserve">Make recommendations regarding the design, scope, </w:t>
      </w:r>
      <w:proofErr w:type="gramStart"/>
      <w:r w:rsidRPr="007B6337">
        <w:rPr>
          <w:rFonts w:ascii="HelveticaNeue-65Medium" w:eastAsia="Times New Roman" w:hAnsi="HelveticaNeue-65Medium" w:cs="Times New Roman"/>
          <w:color w:val="4A4A4A"/>
          <w:sz w:val="24"/>
          <w:szCs w:val="24"/>
        </w:rPr>
        <w:t>remit</w:t>
      </w:r>
      <w:proofErr w:type="gramEnd"/>
      <w:r w:rsidRPr="007B6337">
        <w:rPr>
          <w:rFonts w:ascii="HelveticaNeue-65Medium" w:eastAsia="Times New Roman" w:hAnsi="HelveticaNeue-65Medium" w:cs="Times New Roman"/>
          <w:color w:val="4A4A4A"/>
          <w:sz w:val="24"/>
          <w:szCs w:val="24"/>
        </w:rPr>
        <w:t xml:space="preserve"> and ownership of a “Phase-2 (and beyond)” Global Trade Compliance function.</w:t>
      </w:r>
    </w:p>
    <w:p w14:paraId="3426BF15" w14:textId="77777777" w:rsidR="007B6337" w:rsidRPr="007B6337" w:rsidRDefault="007B6337" w:rsidP="007B6337">
      <w:pPr>
        <w:shd w:val="clear" w:color="auto" w:fill="FFFFFF"/>
        <w:spacing w:after="150" w:line="240" w:lineRule="auto"/>
        <w:rPr>
          <w:rFonts w:ascii="HelveticaNeue-65Medium" w:eastAsia="Times New Roman" w:hAnsi="HelveticaNeue-65Medium" w:cs="Times New Roman"/>
          <w:color w:val="4A4A4A"/>
          <w:sz w:val="24"/>
          <w:szCs w:val="24"/>
        </w:rPr>
      </w:pPr>
      <w:r w:rsidRPr="007B6337">
        <w:rPr>
          <w:rFonts w:ascii="inherit" w:eastAsia="Times New Roman" w:hAnsi="inherit" w:cs="Times New Roman"/>
          <w:b/>
          <w:bCs/>
          <w:color w:val="4A4A4A"/>
          <w:sz w:val="24"/>
          <w:szCs w:val="24"/>
          <w:u w:val="single"/>
        </w:rPr>
        <w:t xml:space="preserve">This Role Might Be </w:t>
      </w:r>
      <w:proofErr w:type="gramStart"/>
      <w:r w:rsidRPr="007B6337">
        <w:rPr>
          <w:rFonts w:ascii="inherit" w:eastAsia="Times New Roman" w:hAnsi="inherit" w:cs="Times New Roman"/>
          <w:b/>
          <w:bCs/>
          <w:color w:val="4A4A4A"/>
          <w:sz w:val="24"/>
          <w:szCs w:val="24"/>
          <w:u w:val="single"/>
        </w:rPr>
        <w:t>For</w:t>
      </w:r>
      <w:proofErr w:type="gramEnd"/>
      <w:r w:rsidRPr="007B6337">
        <w:rPr>
          <w:rFonts w:ascii="inherit" w:eastAsia="Times New Roman" w:hAnsi="inherit" w:cs="Times New Roman"/>
          <w:b/>
          <w:bCs/>
          <w:color w:val="4A4A4A"/>
          <w:sz w:val="24"/>
          <w:szCs w:val="24"/>
          <w:u w:val="single"/>
        </w:rPr>
        <w:t xml:space="preserve"> You If You Have</w:t>
      </w:r>
      <w:r w:rsidRPr="007B6337">
        <w:rPr>
          <w:rFonts w:ascii="inherit" w:eastAsia="Times New Roman" w:hAnsi="inherit" w:cs="Times New Roman"/>
          <w:b/>
          <w:bCs/>
          <w:color w:val="4A4A4A"/>
          <w:sz w:val="24"/>
          <w:szCs w:val="24"/>
        </w:rPr>
        <w:t>:</w:t>
      </w:r>
    </w:p>
    <w:p w14:paraId="4D7D69BC" w14:textId="77777777" w:rsidR="007B6337" w:rsidRPr="007B6337" w:rsidRDefault="007B6337" w:rsidP="007B6337">
      <w:pPr>
        <w:numPr>
          <w:ilvl w:val="0"/>
          <w:numId w:val="2"/>
        </w:numPr>
        <w:spacing w:after="150"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Expertise in logistics including Global Trade Compliance responsibilities with 10+ years of experience</w:t>
      </w:r>
    </w:p>
    <w:p w14:paraId="5F4E3AB8" w14:textId="77777777" w:rsidR="007B6337" w:rsidRPr="007B6337" w:rsidRDefault="007B6337" w:rsidP="007B6337">
      <w:pPr>
        <w:numPr>
          <w:ilvl w:val="0"/>
          <w:numId w:val="2"/>
        </w:numPr>
        <w:spacing w:after="150"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Proven ability to develop infrastructure supporting business compliance and mitigates risk</w:t>
      </w:r>
    </w:p>
    <w:p w14:paraId="572F947C" w14:textId="77777777" w:rsidR="007B6337" w:rsidRPr="007B6337" w:rsidRDefault="007B6337" w:rsidP="007B6337">
      <w:pPr>
        <w:numPr>
          <w:ilvl w:val="0"/>
          <w:numId w:val="2"/>
        </w:numPr>
        <w:spacing w:after="150"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Working knowledge of Federal, State and International Regulatory &amp; Supply Chain Security programs and Compliance (</w:t>
      </w:r>
      <w:r w:rsidRPr="007B6337">
        <w:rPr>
          <w:rFonts w:ascii="HelveticaNeue-65Medium" w:eastAsia="Times New Roman" w:hAnsi="HelveticaNeue-65Medium" w:cs="Times New Roman"/>
          <w:color w:val="4A4A4A"/>
          <w:sz w:val="24"/>
          <w:szCs w:val="24"/>
          <w:u w:val="single"/>
        </w:rPr>
        <w:t>e.g.</w:t>
      </w:r>
      <w:r w:rsidRPr="007B6337">
        <w:rPr>
          <w:rFonts w:ascii="HelveticaNeue-65Medium" w:eastAsia="Times New Roman" w:hAnsi="HelveticaNeue-65Medium" w:cs="Times New Roman"/>
          <w:color w:val="4A4A4A"/>
          <w:sz w:val="24"/>
          <w:szCs w:val="24"/>
        </w:rPr>
        <w:t>, C-TPAT, AEO)</w:t>
      </w:r>
    </w:p>
    <w:p w14:paraId="57604B9C" w14:textId="77777777" w:rsidR="007B6337" w:rsidRPr="007B6337" w:rsidRDefault="007B6337" w:rsidP="007B6337">
      <w:pPr>
        <w:numPr>
          <w:ilvl w:val="0"/>
          <w:numId w:val="2"/>
        </w:numPr>
        <w:spacing w:after="150"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lastRenderedPageBreak/>
        <w:t>Hands-on engagement/experience with the FDA, USDA, BIS, U.S. Customs, OFAC and corresponding EU regulatory agencies</w:t>
      </w:r>
    </w:p>
    <w:p w14:paraId="24419576" w14:textId="77777777" w:rsidR="007B6337" w:rsidRPr="007B6337" w:rsidRDefault="007B6337" w:rsidP="007B6337">
      <w:pPr>
        <w:numPr>
          <w:ilvl w:val="0"/>
          <w:numId w:val="2"/>
        </w:numPr>
        <w:spacing w:after="150"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Proven experience in identifying, re-</w:t>
      </w:r>
      <w:proofErr w:type="gramStart"/>
      <w:r w:rsidRPr="007B6337">
        <w:rPr>
          <w:rFonts w:ascii="HelveticaNeue-65Medium" w:eastAsia="Times New Roman" w:hAnsi="HelveticaNeue-65Medium" w:cs="Times New Roman"/>
          <w:color w:val="4A4A4A"/>
          <w:sz w:val="24"/>
          <w:szCs w:val="24"/>
        </w:rPr>
        <w:t>engineering</w:t>
      </w:r>
      <w:proofErr w:type="gramEnd"/>
      <w:r w:rsidRPr="007B6337">
        <w:rPr>
          <w:rFonts w:ascii="HelveticaNeue-65Medium" w:eastAsia="Times New Roman" w:hAnsi="HelveticaNeue-65Medium" w:cs="Times New Roman"/>
          <w:color w:val="4A4A4A"/>
          <w:sz w:val="24"/>
          <w:szCs w:val="24"/>
        </w:rPr>
        <w:t xml:space="preserve"> and implementing Global Trade Compliance procedures and processes</w:t>
      </w:r>
    </w:p>
    <w:p w14:paraId="030F9807" w14:textId="77777777" w:rsidR="007B6337" w:rsidRPr="007B6337" w:rsidRDefault="007B6337" w:rsidP="007B6337">
      <w:pPr>
        <w:numPr>
          <w:ilvl w:val="0"/>
          <w:numId w:val="2"/>
        </w:numPr>
        <w:spacing w:after="150"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Demonstrated understanding of OFAC and BIS requirements for restricted parties and countries, export licensing (including technology review and deemed export licensing), and reporting and documentation</w:t>
      </w:r>
    </w:p>
    <w:p w14:paraId="0847F4F3" w14:textId="77777777" w:rsidR="007B6337" w:rsidRPr="007B6337" w:rsidRDefault="007B6337" w:rsidP="007B6337">
      <w:pPr>
        <w:numPr>
          <w:ilvl w:val="0"/>
          <w:numId w:val="2"/>
        </w:numPr>
        <w:spacing w:after="150"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In-depth expertise with the Harmonized Code System and Explanatory Notes &amp; US Customs classification; demonstrated experience in maintaining a database of import data in full compliance with reporting requirements of US Customs; experience with US Customs compliance audits preferred</w:t>
      </w:r>
    </w:p>
    <w:p w14:paraId="4B8CCECB" w14:textId="77777777" w:rsidR="007B6337" w:rsidRPr="007B6337" w:rsidRDefault="007B6337" w:rsidP="007B6337">
      <w:pPr>
        <w:numPr>
          <w:ilvl w:val="0"/>
          <w:numId w:val="2"/>
        </w:numPr>
        <w:spacing w:after="150"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Experience building departmental and/or cross-functional Trade Controls governance infrastructure</w:t>
      </w:r>
    </w:p>
    <w:p w14:paraId="73E61B46" w14:textId="77777777" w:rsidR="007B6337" w:rsidRPr="007B6337" w:rsidRDefault="007B6337" w:rsidP="007B6337">
      <w:pPr>
        <w:shd w:val="clear" w:color="auto" w:fill="FFFFFF"/>
        <w:spacing w:after="150" w:line="240" w:lineRule="auto"/>
        <w:rPr>
          <w:rFonts w:ascii="HelveticaNeue-65Medium" w:eastAsia="Times New Roman" w:hAnsi="HelveticaNeue-65Medium" w:cs="Times New Roman"/>
          <w:color w:val="4A4A4A"/>
          <w:sz w:val="24"/>
          <w:szCs w:val="24"/>
        </w:rPr>
      </w:pPr>
      <w:r w:rsidRPr="007B6337">
        <w:rPr>
          <w:rFonts w:ascii="HelveticaNeue-65Medium" w:eastAsia="Times New Roman" w:hAnsi="HelveticaNeue-65Medium" w:cs="Times New Roman"/>
          <w:color w:val="4A4A4A"/>
          <w:sz w:val="24"/>
          <w:szCs w:val="24"/>
        </w:rPr>
        <w:t>To be considered for this position you must possess a B.A. or higher college degree is required; Law degree is preferred but optional depending on demonstrable work experience in Export Controls and Trade Compliance. Strong written and verbal communication skills. Practical cross-functional collaboration experience, including US and global business units. Pharma/biotech experience preferred.</w:t>
      </w:r>
    </w:p>
    <w:p w14:paraId="5DB13FAB" w14:textId="77777777" w:rsidR="007B6337" w:rsidRPr="007B6337" w:rsidRDefault="007B6337" w:rsidP="007B6337">
      <w:pPr>
        <w:spacing w:after="0" w:line="240" w:lineRule="auto"/>
        <w:rPr>
          <w:rFonts w:ascii="Times New Roman" w:eastAsia="Times New Roman" w:hAnsi="Times New Roman" w:cs="Times New Roman"/>
          <w:sz w:val="24"/>
          <w:szCs w:val="24"/>
        </w:rPr>
      </w:pPr>
      <w:r w:rsidRPr="007B6337">
        <w:rPr>
          <w:rFonts w:ascii="HelveticaNeue-65Medium" w:eastAsia="Times New Roman" w:hAnsi="HelveticaNeue-65Medium" w:cs="Times New Roman"/>
          <w:color w:val="393939"/>
          <w:sz w:val="24"/>
          <w:szCs w:val="24"/>
          <w:shd w:val="clear" w:color="auto" w:fill="FFFFFF"/>
        </w:rPr>
        <w:t>Does this sound like you? Apply now to take your first steps toward living the Regeneron Way! We have an inclusive and diverse culture that provides comprehensive benefits including health and wellness programs, fitness centers and equity awards, annual bonuses, and paid time off for eligible employees at all levels!</w:t>
      </w:r>
    </w:p>
    <w:p w14:paraId="60FE39A0" w14:textId="73E46B0B" w:rsidR="006352D9" w:rsidRDefault="007B6337" w:rsidP="007B6337">
      <w:r w:rsidRPr="007B6337">
        <w:rPr>
          <w:rFonts w:ascii="HelveticaNeue-65Medium" w:eastAsia="Times New Roman" w:hAnsi="HelveticaNeue-65Medium" w:cs="Times New Roman"/>
          <w:color w:val="393939"/>
          <w:sz w:val="24"/>
          <w:szCs w:val="24"/>
          <w:shd w:val="clear" w:color="auto" w:fill="FFFFFF"/>
        </w:rPr>
        <w:t>Regeneron is an equal opportunity employer and all qualified applicants will receive consideration for employment without regard to race, color, religion or belief (or lack thereof), sex, nationality, national or ethnic origin, civil status, age, citizenship status, membership of the Traveler community, sexual orientation, disability, genetic information, familial status, marital or registered civil partnership status, pregnancy or parental status, gender identity, gender reassignment, military or veteran status, or any other protected characteristic in accordance with applicable laws and regulations. We will ensure that individuals with disabilities are provided reasonable accommodations to participate in the job application process. Please contact us to discuss any accommodations you think you may need.</w:t>
      </w:r>
    </w:p>
    <w:sectPr w:rsidR="006352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671F" w14:textId="77777777" w:rsidR="007B6337" w:rsidRDefault="007B6337" w:rsidP="007B6337">
      <w:pPr>
        <w:spacing w:after="0" w:line="240" w:lineRule="auto"/>
      </w:pPr>
      <w:r>
        <w:separator/>
      </w:r>
    </w:p>
  </w:endnote>
  <w:endnote w:type="continuationSeparator" w:id="0">
    <w:p w14:paraId="11BE3BFE" w14:textId="77777777" w:rsidR="007B6337" w:rsidRDefault="007B6337" w:rsidP="007B6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65Medium">
    <w:altName w:val="Arial"/>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D9BC" w14:textId="77777777" w:rsidR="007B6337" w:rsidRDefault="007B6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BE9C" w14:textId="500E00FE" w:rsidR="007B6337" w:rsidRDefault="007B6337">
    <w:pPr>
      <w:pStyle w:val="Footer"/>
    </w:pPr>
    <w:r>
      <w:rPr>
        <w:noProof/>
      </w:rPr>
      <mc:AlternateContent>
        <mc:Choice Requires="wps">
          <w:drawing>
            <wp:anchor distT="0" distB="0" distL="114300" distR="114300" simplePos="0" relativeHeight="251659264" behindDoc="0" locked="0" layoutInCell="0" allowOverlap="1" wp14:anchorId="4448F294" wp14:editId="6CECC77C">
              <wp:simplePos x="0" y="0"/>
              <wp:positionH relativeFrom="page">
                <wp:posOffset>0</wp:posOffset>
              </wp:positionH>
              <wp:positionV relativeFrom="page">
                <wp:posOffset>9594215</wp:posOffset>
              </wp:positionV>
              <wp:extent cx="7772400" cy="273050"/>
              <wp:effectExtent l="0" t="0" r="0" b="12700"/>
              <wp:wrapNone/>
              <wp:docPr id="1" name="MSIPCM914c44b7889fc98f0e03ebe2" descr="{&quot;HashCode&quot;:163328807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2C2C12" w14:textId="0CBA2566" w:rsidR="007B6337" w:rsidRPr="007B6337" w:rsidRDefault="007B6337" w:rsidP="007B6337">
                          <w:pPr>
                            <w:spacing w:after="0"/>
                            <w:jc w:val="center"/>
                            <w:rPr>
                              <w:rFonts w:ascii="Calibri" w:hAnsi="Calibri" w:cs="Calibri"/>
                              <w:color w:val="898989"/>
                              <w:sz w:val="24"/>
                            </w:rPr>
                          </w:pPr>
                          <w:r w:rsidRPr="007B6337">
                            <w:rPr>
                              <w:rFonts w:ascii="Calibri" w:hAnsi="Calibri" w:cs="Calibri"/>
                              <w:color w:val="898989"/>
                              <w:sz w:val="24"/>
                            </w:rPr>
                            <w:t>Regeneron - Internal Use Only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48F294" id="_x0000_t202" coordsize="21600,21600" o:spt="202" path="m,l,21600r21600,l21600,xe">
              <v:stroke joinstyle="miter"/>
              <v:path gradientshapeok="t" o:connecttype="rect"/>
            </v:shapetype>
            <v:shape id="MSIPCM914c44b7889fc98f0e03ebe2" o:spid="_x0000_s1026" type="#_x0000_t202" alt="{&quot;HashCode&quot;:1633288072,&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" o:allowincell="f" filled="f" stroked="f" strokeweight=".5pt">
              <v:fill o:detectmouseclick="t"/>
              <v:textbox inset=",0,,0">
                <w:txbxContent>
                  <w:p w14:paraId="2D2C2C12" w14:textId="0CBA2566" w:rsidR="007B6337" w:rsidRPr="007B6337" w:rsidRDefault="007B6337" w:rsidP="007B6337">
                    <w:pPr>
                      <w:spacing w:after="0"/>
                      <w:jc w:val="center"/>
                      <w:rPr>
                        <w:rFonts w:ascii="Calibri" w:hAnsi="Calibri" w:cs="Calibri"/>
                        <w:color w:val="898989"/>
                        <w:sz w:val="24"/>
                      </w:rPr>
                    </w:pPr>
                    <w:r w:rsidRPr="007B6337">
                      <w:rPr>
                        <w:rFonts w:ascii="Calibri" w:hAnsi="Calibri" w:cs="Calibri"/>
                        <w:color w:val="898989"/>
                        <w:sz w:val="24"/>
                      </w:rPr>
                      <w:t>Regeneron - 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A1F5" w14:textId="77777777" w:rsidR="007B6337" w:rsidRDefault="007B6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B5F1" w14:textId="77777777" w:rsidR="007B6337" w:rsidRDefault="007B6337" w:rsidP="007B6337">
      <w:pPr>
        <w:spacing w:after="0" w:line="240" w:lineRule="auto"/>
      </w:pPr>
      <w:r>
        <w:separator/>
      </w:r>
    </w:p>
  </w:footnote>
  <w:footnote w:type="continuationSeparator" w:id="0">
    <w:p w14:paraId="29D46BC9" w14:textId="77777777" w:rsidR="007B6337" w:rsidRDefault="007B6337" w:rsidP="007B6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CDD6" w14:textId="77777777" w:rsidR="007B6337" w:rsidRDefault="007B6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25E3" w14:textId="77777777" w:rsidR="007B6337" w:rsidRDefault="007B6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D8AD" w14:textId="77777777" w:rsidR="007B6337" w:rsidRDefault="007B6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24A38"/>
    <w:multiLevelType w:val="multilevel"/>
    <w:tmpl w:val="368A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5F73C7"/>
    <w:multiLevelType w:val="multilevel"/>
    <w:tmpl w:val="B57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37"/>
    <w:rsid w:val="007B6337"/>
    <w:rsid w:val="00A570B5"/>
    <w:rsid w:val="00CE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2280"/>
  <w15:chartTrackingRefBased/>
  <w15:docId w15:val="{338C2A92-C803-4C1F-A181-1C242DC8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633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6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37"/>
  </w:style>
  <w:style w:type="paragraph" w:styleId="Footer">
    <w:name w:val="footer"/>
    <w:basedOn w:val="Normal"/>
    <w:link w:val="FooterChar"/>
    <w:uiPriority w:val="99"/>
    <w:unhideWhenUsed/>
    <w:rsid w:val="007B6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87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Eisenman</dc:creator>
  <cp:keywords/>
  <dc:description/>
  <cp:lastModifiedBy>Robin Eisenman</cp:lastModifiedBy>
  <cp:revision>1</cp:revision>
  <dcterms:created xsi:type="dcterms:W3CDTF">2022-12-20T19:22:00Z</dcterms:created>
  <dcterms:modified xsi:type="dcterms:W3CDTF">2022-12-20T19:23:00Z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a9790f-e5c1-4030-9332-9cdee48e94a8_Enabled">
    <vt:lpwstr>true</vt:lpwstr>
  </property>
  <property fmtid="{D5CDD505-2E9C-101B-9397-08002B2CF9AE}" pid="3" name="MSIP_Label_2da9790f-e5c1-4030-9332-9cdee48e94a8_SetDate">
    <vt:lpwstr>2022-12-20T19:23:01Z</vt:lpwstr>
  </property>
  <property fmtid="{D5CDD505-2E9C-101B-9397-08002B2CF9AE}" pid="4" name="MSIP_Label_2da9790f-e5c1-4030-9332-9cdee48e94a8_Method">
    <vt:lpwstr>Standard</vt:lpwstr>
  </property>
  <property fmtid="{D5CDD505-2E9C-101B-9397-08002B2CF9AE}" pid="5" name="MSIP_Label_2da9790f-e5c1-4030-9332-9cdee48e94a8_Name">
    <vt:lpwstr>Internal</vt:lpwstr>
  </property>
  <property fmtid="{D5CDD505-2E9C-101B-9397-08002B2CF9AE}" pid="6" name="MSIP_Label_2da9790f-e5c1-4030-9332-9cdee48e94a8_SiteId">
    <vt:lpwstr>3e9aadf8-6a16-490f-8dcd-c68860caae0b</vt:lpwstr>
  </property>
  <property fmtid="{D5CDD505-2E9C-101B-9397-08002B2CF9AE}" pid="7" name="MSIP_Label_2da9790f-e5c1-4030-9332-9cdee48e94a8_ActionId">
    <vt:lpwstr>86cb8acc-9dcd-4412-b32a-0d8996160c84</vt:lpwstr>
  </property>
  <property fmtid="{D5CDD505-2E9C-101B-9397-08002B2CF9AE}" pid="8" name="MSIP_Label_2da9790f-e5c1-4030-9332-9cdee48e94a8_ContentBits">
    <vt:lpwstr>2</vt:lpwstr>
  </property>
</Properties>
</file>