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9E" w:rsidRPr="00A37C9E" w:rsidRDefault="00A37C9E" w:rsidP="00A37C9E">
      <w:pPr>
        <w:shd w:val="clear" w:color="auto" w:fill="FFFFFF"/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_GoBack"/>
      <w:r w:rsidRPr="00A37C9E">
        <w:rPr>
          <w:rFonts w:ascii="Arial" w:eastAsia="Times New Roman" w:hAnsi="Arial" w:cs="Arial"/>
          <w:b/>
          <w:bCs/>
          <w:color w:val="000000"/>
          <w:sz w:val="27"/>
          <w:szCs w:val="27"/>
        </w:rPr>
        <w:t>Innovate to solve the world's most important challenges</w:t>
      </w:r>
    </w:p>
    <w:bookmarkEnd w:id="0"/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The future is what you make it!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When you join Honeywell, you become a member of our global team of thinkers, innovators, dreamers and doers who make the things that make the future.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That means changing the way we fly, fueling jets in an eco-friendly way, keeping buildings safe and even making it possible to breathe on Mars.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Working at Honeywell isn’t just about developing cool things. That’s why our employees enjoy access to dynamic career opportunities across different fields and industries.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Are you ready to help us make the future?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000000"/>
          <w:sz w:val="20"/>
          <w:szCs w:val="20"/>
        </w:rPr>
        <w:t>Responsibilities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This position will support the Export Compliance, Global Trade Services (GTS) and Licensing Team with implementing, supporting, and optimizing the GTS system and license management.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Supports implementation and development for GTS in SAP and preforms GTS transactional audits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Perform unit, system, and integration testing for SAP/GTS deployments.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Acts as a liaison between International Trade Compliance (ITC) and the Information Technology (IT) department.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Ensures compliance with the U.S. export laws and regulations and all export approvals for Honeywell organization.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Ensure support of export control policies and procedures business-wide through training programs, both formal and informal communications with IT and SAP departments.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Implements corrective actions related to IT resulting from audits or customer requests to ensure export compliance.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Provides accurate interpretations of applicable export regulations to SBU's IT departments.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t>Works indirectly through the Leader to maintain the level of quality control and standardization of Honeywell export systems.</w:t>
      </w:r>
    </w:p>
    <w:p w:rsidR="00A37C9E" w:rsidRPr="00A37C9E" w:rsidRDefault="00A37C9E" w:rsidP="00A37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0"/>
          <w:szCs w:val="20"/>
        </w:rPr>
        <w:lastRenderedPageBreak/>
        <w:t>Works directly with the Leader to drive functional processes and technical expertise to Honeywell businesses and functions as it relates to IT.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17"/>
          <w:szCs w:val="17"/>
        </w:rPr>
      </w:pPr>
      <w:r w:rsidRPr="00A37C9E">
        <w:rPr>
          <w:rFonts w:ascii="Arial" w:eastAsia="Times New Roman" w:hAnsi="Arial" w:cs="Arial"/>
          <w:color w:val="000000"/>
          <w:sz w:val="30"/>
          <w:szCs w:val="30"/>
        </w:rPr>
        <w:t>YOU MUST HAVE</w:t>
      </w:r>
    </w:p>
    <w:p w:rsidR="00A37C9E" w:rsidRPr="00A37C9E" w:rsidRDefault="00A37C9E" w:rsidP="00A37C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proofErr w:type="spellStart"/>
      <w:r w:rsidRPr="00A37C9E">
        <w:rPr>
          <w:rFonts w:ascii="Arial" w:eastAsia="Times New Roman" w:hAnsi="Arial" w:cs="Arial"/>
          <w:color w:val="636363"/>
          <w:sz w:val="24"/>
          <w:szCs w:val="24"/>
        </w:rPr>
        <w:t>Bachelors</w:t>
      </w:r>
      <w:proofErr w:type="spellEnd"/>
      <w:r w:rsidRPr="00A37C9E">
        <w:rPr>
          <w:rFonts w:ascii="Arial" w:eastAsia="Times New Roman" w:hAnsi="Arial" w:cs="Arial"/>
          <w:color w:val="636363"/>
          <w:sz w:val="24"/>
          <w:szCs w:val="24"/>
        </w:rPr>
        <w:t xml:space="preserve"> Degree</w:t>
      </w:r>
    </w:p>
    <w:p w:rsidR="00A37C9E" w:rsidRPr="00A37C9E" w:rsidRDefault="00A37C9E" w:rsidP="00A37C9E">
      <w:pPr>
        <w:shd w:val="clear" w:color="auto" w:fill="FFFFFF"/>
        <w:spacing w:after="150" w:line="480" w:lineRule="auto"/>
        <w:rPr>
          <w:rFonts w:ascii="Arial" w:eastAsia="Times New Roman" w:hAnsi="Arial" w:cs="Arial"/>
          <w:color w:val="636363"/>
          <w:sz w:val="17"/>
          <w:szCs w:val="17"/>
        </w:rPr>
      </w:pPr>
      <w:r w:rsidRPr="00A37C9E">
        <w:rPr>
          <w:rFonts w:ascii="Arial" w:eastAsia="Times New Roman" w:hAnsi="Arial" w:cs="Arial"/>
          <w:color w:val="000000"/>
          <w:sz w:val="30"/>
          <w:szCs w:val="30"/>
        </w:rPr>
        <w:t>WE VALUE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Aptitude for compliance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Some experience in export compliance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Understanding of export regulations, including the ITAR, EAR and OFAC, is helpful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Ability to interpret and understand the impact of Export Control Reform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Strong writing skills; Experience in drafting reports, contracts, agreements, presentations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Experience in drafting and processing export license applications and proposed agreements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Excellent communication, presentation and interpersonal skills a plus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Proactive, well-organized, highly motivated</w:t>
      </w:r>
    </w:p>
    <w:p w:rsidR="00A37C9E" w:rsidRPr="00A37C9E" w:rsidRDefault="00A37C9E" w:rsidP="00A37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Experience with MS Office</w:t>
      </w:r>
    </w:p>
    <w:p w:rsidR="00A37C9E" w:rsidRPr="00A37C9E" w:rsidRDefault="00A37C9E" w:rsidP="00A37C9E">
      <w:pPr>
        <w:shd w:val="clear" w:color="auto" w:fill="FFFFFF"/>
        <w:spacing w:before="150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37C9E">
        <w:rPr>
          <w:rFonts w:ascii="Arial" w:eastAsia="Times New Roman" w:hAnsi="Arial" w:cs="Arial"/>
          <w:b/>
          <w:bCs/>
          <w:color w:val="000000"/>
          <w:sz w:val="27"/>
          <w:szCs w:val="27"/>
        </w:rPr>
        <w:t>Additional Information</w:t>
      </w:r>
    </w:p>
    <w:p w:rsidR="00A37C9E" w:rsidRPr="00A37C9E" w:rsidRDefault="00A37C9E" w:rsidP="00A37C9E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b/>
          <w:bCs/>
          <w:color w:val="636363"/>
          <w:sz w:val="24"/>
          <w:szCs w:val="24"/>
        </w:rPr>
        <w:t>JOB ID: </w:t>
      </w:r>
      <w:r w:rsidRPr="00A37C9E">
        <w:rPr>
          <w:rFonts w:ascii="Arial" w:eastAsia="Times New Roman" w:hAnsi="Arial" w:cs="Arial"/>
          <w:color w:val="636363"/>
          <w:sz w:val="24"/>
          <w:szCs w:val="24"/>
        </w:rPr>
        <w:t>HRD170427</w:t>
      </w:r>
    </w:p>
    <w:p w:rsidR="00A37C9E" w:rsidRPr="00A37C9E" w:rsidRDefault="00A37C9E" w:rsidP="00A37C9E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b/>
          <w:bCs/>
          <w:color w:val="636363"/>
          <w:sz w:val="24"/>
          <w:szCs w:val="24"/>
        </w:rPr>
        <w:t>Category: </w:t>
      </w:r>
      <w:r w:rsidRPr="00A37C9E">
        <w:rPr>
          <w:rFonts w:ascii="Arial" w:eastAsia="Times New Roman" w:hAnsi="Arial" w:cs="Arial"/>
          <w:color w:val="636363"/>
          <w:sz w:val="24"/>
          <w:szCs w:val="24"/>
        </w:rPr>
        <w:t>Legal</w:t>
      </w:r>
    </w:p>
    <w:p w:rsidR="00A37C9E" w:rsidRPr="00A37C9E" w:rsidRDefault="00A37C9E" w:rsidP="00A37C9E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b/>
          <w:bCs/>
          <w:color w:val="636363"/>
          <w:sz w:val="24"/>
          <w:szCs w:val="24"/>
        </w:rPr>
        <w:t>Location: </w:t>
      </w:r>
      <w:r w:rsidRPr="00A37C9E">
        <w:rPr>
          <w:rFonts w:ascii="Arial" w:eastAsia="Times New Roman" w:hAnsi="Arial" w:cs="Arial"/>
          <w:color w:val="636363"/>
          <w:sz w:val="24"/>
          <w:szCs w:val="24"/>
        </w:rPr>
        <w:t>21111 N. 19th Ave (Deer Valley),Phoenix,Arizona,85027,United States</w:t>
      </w:r>
    </w:p>
    <w:p w:rsidR="00A37C9E" w:rsidRPr="00A37C9E" w:rsidRDefault="00A37C9E" w:rsidP="00A37C9E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t>Exempt</w:t>
      </w:r>
    </w:p>
    <w:p w:rsidR="00A37C9E" w:rsidRPr="00A37C9E" w:rsidRDefault="00A37C9E" w:rsidP="00A37C9E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Arial" w:eastAsia="Times New Roman" w:hAnsi="Arial" w:cs="Arial"/>
          <w:color w:val="636363"/>
          <w:sz w:val="24"/>
          <w:szCs w:val="24"/>
        </w:rPr>
      </w:pPr>
      <w:r w:rsidRPr="00A37C9E">
        <w:rPr>
          <w:rFonts w:ascii="Arial" w:eastAsia="Times New Roman" w:hAnsi="Arial" w:cs="Arial"/>
          <w:color w:val="636363"/>
          <w:sz w:val="24"/>
          <w:szCs w:val="24"/>
        </w:rPr>
        <w:lastRenderedPageBreak/>
        <w:t>Due to US export control laws, must be a US citizen, permanent resident or have protected status.</w:t>
      </w:r>
    </w:p>
    <w:p w:rsidR="0033165D" w:rsidRPr="00A37C9E" w:rsidRDefault="0033165D">
      <w:pPr>
        <w:rPr>
          <w:rFonts w:ascii="Arial" w:hAnsi="Arial" w:cs="Arial"/>
        </w:rPr>
      </w:pPr>
    </w:p>
    <w:sectPr w:rsidR="0033165D" w:rsidRPr="00A37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34114"/>
    <w:multiLevelType w:val="multilevel"/>
    <w:tmpl w:val="A3B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1F3BE7"/>
    <w:multiLevelType w:val="multilevel"/>
    <w:tmpl w:val="BD4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ED1C43"/>
    <w:multiLevelType w:val="multilevel"/>
    <w:tmpl w:val="F64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DE1DFA"/>
    <w:multiLevelType w:val="multilevel"/>
    <w:tmpl w:val="552A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9E"/>
    <w:rsid w:val="0033165D"/>
    <w:rsid w:val="00A3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54466-AC99-4B44-8A72-073408B2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7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7C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3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Prakhya, Manjari</dc:creator>
  <cp:keywords/>
  <dc:description/>
  <cp:lastModifiedBy>Prakhya, Manjari</cp:lastModifiedBy>
  <cp:revision>1</cp:revision>
  <dcterms:created xsi:type="dcterms:W3CDTF">2022-06-27T19:52:00Z</dcterms:created>
  <dcterms:modified xsi:type="dcterms:W3CDTF">2022-06-27T19:53:00Z</dcterms:modified>
</cp:coreProperties>
</file>