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B2D5D" w14:textId="77777777" w:rsidR="008A4F89" w:rsidRDefault="008A4F89" w:rsidP="009E3994">
      <w:pPr>
        <w:pBdr>
          <w:bottom w:val="single" w:sz="4" w:space="1" w:color="auto"/>
        </w:pBdr>
        <w:tabs>
          <w:tab w:val="right" w:pos="10260"/>
        </w:tabs>
        <w:spacing w:after="0" w:line="276" w:lineRule="auto"/>
        <w:ind w:left="2160" w:right="2160"/>
        <w:jc w:val="center"/>
        <w:rPr>
          <w:rFonts w:ascii="Cambria" w:eastAsia="Times New Roman" w:hAnsi="Cambria" w:cs="Times New Roman"/>
          <w:b/>
          <w:smallCaps/>
          <w:color w:val="1F3864" w:themeColor="accent1" w:themeShade="80"/>
          <w:spacing w:val="20"/>
          <w:sz w:val="40"/>
          <w:szCs w:val="20"/>
        </w:rPr>
      </w:pPr>
      <w:bookmarkStart w:id="0" w:name="_Hlk72832414"/>
    </w:p>
    <w:p w14:paraId="4435EF9F" w14:textId="543817AF" w:rsidR="008A4F89" w:rsidRDefault="009E3994" w:rsidP="009E3994">
      <w:pPr>
        <w:pBdr>
          <w:bottom w:val="single" w:sz="4" w:space="1" w:color="auto"/>
        </w:pBdr>
        <w:tabs>
          <w:tab w:val="right" w:pos="10260"/>
        </w:tabs>
        <w:spacing w:after="0" w:line="276" w:lineRule="auto"/>
        <w:ind w:left="2160" w:right="2160"/>
        <w:jc w:val="center"/>
        <w:rPr>
          <w:rFonts w:ascii="Cambria" w:eastAsia="Times New Roman" w:hAnsi="Cambria" w:cs="Times New Roman"/>
          <w:b/>
          <w:smallCaps/>
          <w:color w:val="1F3864" w:themeColor="accent1" w:themeShade="80"/>
          <w:spacing w:val="20"/>
          <w:sz w:val="40"/>
          <w:szCs w:val="20"/>
        </w:rPr>
      </w:pPr>
      <w:r w:rsidRPr="009E3994">
        <w:rPr>
          <w:rFonts w:ascii="Cambria" w:eastAsia="Times New Roman" w:hAnsi="Cambria" w:cs="Times New Roman"/>
          <w:b/>
          <w:smallCaps/>
          <w:color w:val="1F3864" w:themeColor="accent1" w:themeShade="80"/>
          <w:spacing w:val="20"/>
          <w:sz w:val="40"/>
          <w:szCs w:val="20"/>
        </w:rPr>
        <w:t xml:space="preserve">DORON </w:t>
      </w:r>
      <w:r w:rsidR="008A4F89" w:rsidRPr="009E3994">
        <w:rPr>
          <w:rFonts w:ascii="Cambria" w:eastAsia="Times New Roman" w:hAnsi="Cambria" w:cs="Times New Roman"/>
          <w:b/>
          <w:smallCaps/>
          <w:color w:val="1F3864" w:themeColor="accent1" w:themeShade="80"/>
          <w:spacing w:val="20"/>
          <w:sz w:val="40"/>
          <w:szCs w:val="20"/>
        </w:rPr>
        <w:t>KOTKOWSKI</w:t>
      </w:r>
    </w:p>
    <w:p w14:paraId="4923F64F" w14:textId="5501AA13" w:rsidR="009E3994" w:rsidRDefault="009E3994" w:rsidP="009E3994">
      <w:pPr>
        <w:pBdr>
          <w:bottom w:val="single" w:sz="4" w:space="1" w:color="auto"/>
        </w:pBdr>
        <w:tabs>
          <w:tab w:val="right" w:pos="10260"/>
        </w:tabs>
        <w:spacing w:after="0" w:line="276" w:lineRule="auto"/>
        <w:ind w:left="2160" w:right="2160"/>
        <w:jc w:val="center"/>
        <w:rPr>
          <w:rFonts w:ascii="Cambria" w:eastAsia="Times New Roman" w:hAnsi="Cambria" w:cs="Times New Roman"/>
          <w:b/>
          <w:sz w:val="21"/>
          <w:szCs w:val="21"/>
        </w:rPr>
      </w:pPr>
      <w:r w:rsidRPr="009E3994">
        <w:rPr>
          <w:rFonts w:ascii="Cambria" w:eastAsia="Times New Roman" w:hAnsi="Cambria" w:cs="Times New Roman"/>
          <w:b/>
          <w:smallCaps/>
          <w:spacing w:val="20"/>
          <w:sz w:val="21"/>
          <w:szCs w:val="21"/>
        </w:rPr>
        <w:t xml:space="preserve">(956)497-7670 • </w:t>
      </w:r>
      <w:hyperlink r:id="rId8" w:history="1">
        <w:r w:rsidR="00187D5A" w:rsidRPr="007E209A">
          <w:rPr>
            <w:rStyle w:val="Hyperlink"/>
            <w:rFonts w:ascii="Cambria" w:eastAsia="Times New Roman" w:hAnsi="Cambria" w:cs="Times New Roman"/>
            <w:b/>
            <w:sz w:val="21"/>
            <w:szCs w:val="21"/>
          </w:rPr>
          <w:t>doron.kotkowski@newellco.com</w:t>
        </w:r>
      </w:hyperlink>
    </w:p>
    <w:p w14:paraId="5E986254" w14:textId="77777777" w:rsidR="000450C9" w:rsidRPr="009E3994" w:rsidRDefault="000450C9" w:rsidP="009E3994">
      <w:pPr>
        <w:pBdr>
          <w:bottom w:val="single" w:sz="4" w:space="1" w:color="auto"/>
        </w:pBdr>
        <w:tabs>
          <w:tab w:val="right" w:pos="10260"/>
        </w:tabs>
        <w:spacing w:after="0" w:line="276" w:lineRule="auto"/>
        <w:ind w:left="2160" w:right="2160"/>
        <w:jc w:val="center"/>
        <w:rPr>
          <w:rFonts w:ascii="Cambria" w:eastAsia="Times New Roman" w:hAnsi="Cambria" w:cs="Times New Roman"/>
          <w:b/>
          <w:color w:val="000000" w:themeColor="text1"/>
          <w:sz w:val="21"/>
          <w:szCs w:val="21"/>
        </w:rPr>
      </w:pPr>
    </w:p>
    <w:p w14:paraId="03ACFFC8" w14:textId="77777777" w:rsidR="009E3994" w:rsidRPr="009E3994" w:rsidRDefault="009E3994" w:rsidP="00D224FD">
      <w:pPr>
        <w:pBdr>
          <w:top w:val="single" w:sz="4" w:space="1" w:color="1F3864" w:themeColor="accent1" w:themeShade="80"/>
          <w:bottom w:val="single" w:sz="4" w:space="1" w:color="auto"/>
        </w:pBdr>
        <w:shd w:val="clear" w:color="auto" w:fill="F2F2F2" w:themeFill="background1" w:themeFillShade="F2"/>
        <w:spacing w:after="0" w:line="276" w:lineRule="auto"/>
        <w:jc w:val="center"/>
        <w:rPr>
          <w:rFonts w:ascii="Cambria" w:eastAsia="Times New Roman" w:hAnsi="Cambria" w:cs="Times New Roman"/>
          <w:b/>
          <w:smallCaps/>
          <w:color w:val="1F3864" w:themeColor="accent1" w:themeShade="80"/>
          <w:sz w:val="28"/>
          <w:szCs w:val="20"/>
        </w:rPr>
      </w:pPr>
      <w:r w:rsidRPr="009E3994">
        <w:rPr>
          <w:rFonts w:ascii="Cambria" w:eastAsia="Times New Roman" w:hAnsi="Cambria" w:cs="Times New Roman"/>
          <w:b/>
          <w:smallCaps/>
          <w:color w:val="1F3864" w:themeColor="accent1" w:themeShade="80"/>
          <w:sz w:val="28"/>
          <w:szCs w:val="20"/>
        </w:rPr>
        <w:t xml:space="preserve">CUSTOMS &amp; INTERNATIONAL TRADE DIRECTOR  </w:t>
      </w:r>
    </w:p>
    <w:bookmarkEnd w:id="0"/>
    <w:p w14:paraId="2B375CC4" w14:textId="0BD93EA2" w:rsidR="009E3994" w:rsidRPr="009E3994" w:rsidRDefault="009E3994" w:rsidP="009E3994">
      <w:pPr>
        <w:spacing w:before="60" w:after="60" w:line="276" w:lineRule="auto"/>
        <w:ind w:right="-90"/>
        <w:jc w:val="both"/>
        <w:rPr>
          <w:rFonts w:ascii="Cambria" w:eastAsia="Times New Roman" w:hAnsi="Cambria" w:cs="Times New Roman"/>
          <w:sz w:val="20"/>
          <w:szCs w:val="20"/>
        </w:rPr>
      </w:pPr>
      <w:r w:rsidRPr="009E3994">
        <w:rPr>
          <w:rFonts w:ascii="Cambria" w:eastAsia="Times New Roman" w:hAnsi="Cambria" w:cs="Times New Roman"/>
          <w:sz w:val="20"/>
          <w:szCs w:val="20"/>
        </w:rPr>
        <w:t xml:space="preserve">Global </w:t>
      </w:r>
      <w:r w:rsidR="00CE5DEA">
        <w:rPr>
          <w:rFonts w:ascii="Cambria" w:eastAsia="Times New Roman" w:hAnsi="Cambria" w:cs="Times New Roman"/>
          <w:sz w:val="20"/>
          <w:szCs w:val="20"/>
        </w:rPr>
        <w:t>T</w:t>
      </w:r>
      <w:r w:rsidRPr="009E3994">
        <w:rPr>
          <w:rFonts w:ascii="Cambria" w:eastAsia="Times New Roman" w:hAnsi="Cambria" w:cs="Times New Roman"/>
          <w:sz w:val="20"/>
          <w:szCs w:val="20"/>
        </w:rPr>
        <w:t xml:space="preserve">rade and Customs </w:t>
      </w:r>
      <w:r w:rsidR="00CE5DEA">
        <w:rPr>
          <w:rFonts w:ascii="Cambria" w:eastAsia="Times New Roman" w:hAnsi="Cambria" w:cs="Times New Roman"/>
          <w:sz w:val="20"/>
          <w:szCs w:val="20"/>
        </w:rPr>
        <w:t>C</w:t>
      </w:r>
      <w:r w:rsidRPr="009E3994">
        <w:rPr>
          <w:rFonts w:ascii="Cambria" w:eastAsia="Times New Roman" w:hAnsi="Cambria" w:cs="Times New Roman"/>
          <w:sz w:val="20"/>
          <w:szCs w:val="20"/>
        </w:rPr>
        <w:t xml:space="preserve">ompliance </w:t>
      </w:r>
      <w:r w:rsidR="00CE5DEA">
        <w:rPr>
          <w:rFonts w:ascii="Cambria" w:eastAsia="Times New Roman" w:hAnsi="Cambria" w:cs="Times New Roman"/>
          <w:sz w:val="20"/>
          <w:szCs w:val="20"/>
        </w:rPr>
        <w:t>L</w:t>
      </w:r>
      <w:r w:rsidRPr="009E3994">
        <w:rPr>
          <w:rFonts w:ascii="Cambria" w:eastAsia="Times New Roman" w:hAnsi="Cambria" w:cs="Times New Roman"/>
          <w:sz w:val="20"/>
          <w:szCs w:val="20"/>
        </w:rPr>
        <w:t xml:space="preserve">eader with 20+ years of progressive experience supporting multiple stakeholder requirements across North America, LATAM, and other global regions.  Skilled at deploying an advanced knowledge of import trade regulations, trade preference programs, valuation, and supply chain security to </w:t>
      </w:r>
      <w:r w:rsidR="00CE5DEA">
        <w:rPr>
          <w:rFonts w:ascii="Cambria" w:eastAsia="Times New Roman" w:hAnsi="Cambria" w:cs="Times New Roman"/>
          <w:sz w:val="20"/>
          <w:szCs w:val="20"/>
        </w:rPr>
        <w:t>support</w:t>
      </w:r>
      <w:r w:rsidRPr="009E3994">
        <w:rPr>
          <w:rFonts w:ascii="Cambria" w:eastAsia="Times New Roman" w:hAnsi="Cambria" w:cs="Times New Roman"/>
          <w:sz w:val="20"/>
          <w:szCs w:val="20"/>
        </w:rPr>
        <w:t xml:space="preserve"> multipronged operational objectives. </w:t>
      </w:r>
      <w:r w:rsidR="00CE5DEA">
        <w:rPr>
          <w:rFonts w:ascii="Cambria" w:eastAsia="Times New Roman" w:hAnsi="Cambria" w:cs="Times New Roman"/>
          <w:sz w:val="20"/>
          <w:szCs w:val="20"/>
        </w:rPr>
        <w:t xml:space="preserve">Instrumental in securing </w:t>
      </w:r>
      <w:r w:rsidRPr="009E3994">
        <w:rPr>
          <w:rFonts w:ascii="Cambria" w:eastAsia="Times New Roman" w:hAnsi="Cambria" w:cs="Times New Roman"/>
          <w:sz w:val="20"/>
          <w:szCs w:val="20"/>
        </w:rPr>
        <w:t>over $3M in duty exclusions</w:t>
      </w:r>
      <w:r w:rsidRPr="009E3994">
        <w:rPr>
          <w:rFonts w:ascii="Cambria" w:eastAsia="Times New Roman" w:hAnsi="Cambria" w:cs="Times New Roman"/>
          <w:b/>
          <w:bCs/>
          <w:sz w:val="20"/>
          <w:szCs w:val="20"/>
        </w:rPr>
        <w:t xml:space="preserve"> </w:t>
      </w:r>
      <w:r w:rsidRPr="009E3994">
        <w:rPr>
          <w:rFonts w:ascii="Cambria" w:eastAsia="Times New Roman" w:hAnsi="Cambria" w:cs="Times New Roman"/>
          <w:sz w:val="20"/>
          <w:szCs w:val="20"/>
        </w:rPr>
        <w:t xml:space="preserve">via the management of Section 301 tariff implications. A superior culture-builder and program implementation champion. Excels at driving </w:t>
      </w:r>
      <w:r w:rsidR="00CE5DEA">
        <w:rPr>
          <w:rFonts w:ascii="Cambria" w:eastAsia="Times New Roman" w:hAnsi="Cambria" w:cs="Times New Roman"/>
          <w:sz w:val="20"/>
          <w:szCs w:val="20"/>
        </w:rPr>
        <w:t>trade compliance</w:t>
      </w:r>
      <w:r w:rsidRPr="009E3994">
        <w:rPr>
          <w:rFonts w:ascii="Cambria" w:eastAsia="Times New Roman" w:hAnsi="Cambria" w:cs="Times New Roman"/>
          <w:sz w:val="20"/>
          <w:szCs w:val="20"/>
        </w:rPr>
        <w:t xml:space="preserve"> program effectiveness and </w:t>
      </w:r>
      <w:r w:rsidR="00C235A5">
        <w:rPr>
          <w:rFonts w:ascii="Cambria" w:eastAsia="Times New Roman" w:hAnsi="Cambria" w:cs="Times New Roman"/>
          <w:sz w:val="20"/>
          <w:szCs w:val="20"/>
        </w:rPr>
        <w:t>leading</w:t>
      </w:r>
      <w:r w:rsidRPr="009E3994">
        <w:rPr>
          <w:rFonts w:ascii="Cambria" w:eastAsia="Times New Roman" w:hAnsi="Cambria" w:cs="Times New Roman"/>
          <w:sz w:val="20"/>
          <w:szCs w:val="20"/>
        </w:rPr>
        <w:t xml:space="preserve"> the resolution of international customs </w:t>
      </w:r>
      <w:r w:rsidR="00C235A5">
        <w:rPr>
          <w:rFonts w:ascii="Cambria" w:eastAsia="Times New Roman" w:hAnsi="Cambria" w:cs="Times New Roman"/>
          <w:sz w:val="20"/>
          <w:szCs w:val="20"/>
        </w:rPr>
        <w:t>challenges.</w:t>
      </w:r>
      <w:r w:rsidRPr="009E3994">
        <w:rPr>
          <w:rFonts w:ascii="Cambria" w:eastAsia="Times New Roman" w:hAnsi="Cambria" w:cs="Times New Roman"/>
          <w:sz w:val="20"/>
          <w:szCs w:val="20"/>
        </w:rPr>
        <w:t xml:space="preserve"> </w:t>
      </w:r>
    </w:p>
    <w:p w14:paraId="05EE9C5B" w14:textId="77777777" w:rsidR="009E3994" w:rsidRPr="009E3994" w:rsidRDefault="009E3994" w:rsidP="009E3994">
      <w:pPr>
        <w:spacing w:after="0" w:line="276" w:lineRule="auto"/>
        <w:jc w:val="center"/>
        <w:rPr>
          <w:rFonts w:ascii="Cambria" w:eastAsia="Times New Roman" w:hAnsi="Cambria" w:cs="Times New Roman"/>
          <w:b/>
          <w:bCs/>
          <w:color w:val="2F5496" w:themeColor="accent1" w:themeShade="BF"/>
          <w:spacing w:val="-2"/>
          <w:sz w:val="21"/>
          <w:szCs w:val="21"/>
        </w:rPr>
      </w:pPr>
      <w:r w:rsidRPr="009E3994">
        <w:rPr>
          <w:rFonts w:ascii="Cambria" w:eastAsia="Times New Roman" w:hAnsi="Cambria" w:cs="Times New Roman"/>
          <w:b/>
          <w:bCs/>
          <w:color w:val="2F5496" w:themeColor="accent1" w:themeShade="BF"/>
          <w:spacing w:val="-2"/>
          <w:sz w:val="21"/>
          <w:szCs w:val="21"/>
        </w:rPr>
        <w:t>Core Competencies:</w:t>
      </w:r>
    </w:p>
    <w:p w14:paraId="6604B34F" w14:textId="5563DCF7" w:rsidR="00C235A5" w:rsidRDefault="00AC00F5" w:rsidP="00AC00F5">
      <w:pPr>
        <w:spacing w:after="60" w:line="276" w:lineRule="auto"/>
        <w:rPr>
          <w:rFonts w:ascii="Cambria" w:eastAsia="Times New Roman" w:hAnsi="Cambria" w:cs="Times New Roman"/>
          <w:sz w:val="20"/>
          <w:szCs w:val="20"/>
        </w:rPr>
      </w:pPr>
      <w:r w:rsidRPr="009E3994">
        <w:rPr>
          <w:rFonts w:ascii="Cambria" w:eastAsia="Times New Roman" w:hAnsi="Cambria" w:cs="Times New Roman"/>
          <w:sz w:val="20"/>
          <w:szCs w:val="20"/>
        </w:rPr>
        <w:sym w:font="Wingdings" w:char="F09E"/>
      </w:r>
      <w:r w:rsidRPr="009E3994">
        <w:rPr>
          <w:rFonts w:ascii="Cambria" w:eastAsia="Times New Roman" w:hAnsi="Cambria" w:cs="Times New Roman"/>
          <w:sz w:val="20"/>
          <w:szCs w:val="20"/>
        </w:rPr>
        <w:t xml:space="preserve"> </w:t>
      </w:r>
      <w:r w:rsidR="009E3994" w:rsidRPr="009E3994">
        <w:rPr>
          <w:rFonts w:ascii="Cambria" w:eastAsia="Times New Roman" w:hAnsi="Cambria" w:cs="Times New Roman"/>
          <w:sz w:val="20"/>
          <w:szCs w:val="20"/>
        </w:rPr>
        <w:t xml:space="preserve">Global Trade Regulations </w:t>
      </w:r>
      <w:r w:rsidR="009E3994" w:rsidRPr="009E3994">
        <w:rPr>
          <w:rFonts w:ascii="Cambria" w:eastAsia="Times New Roman" w:hAnsi="Cambria" w:cs="Times New Roman"/>
          <w:sz w:val="20"/>
          <w:szCs w:val="20"/>
        </w:rPr>
        <w:sym w:font="Wingdings" w:char="F09E"/>
      </w:r>
      <w:r w:rsidR="009E3994" w:rsidRPr="009E3994">
        <w:rPr>
          <w:rFonts w:ascii="Cambria" w:eastAsia="Times New Roman" w:hAnsi="Cambria" w:cs="Times New Roman"/>
          <w:sz w:val="20"/>
          <w:szCs w:val="20"/>
        </w:rPr>
        <w:t xml:space="preserve"> </w:t>
      </w:r>
      <w:r w:rsidR="00CE06F8">
        <w:rPr>
          <w:rFonts w:ascii="Cambria" w:eastAsia="Times New Roman" w:hAnsi="Cambria" w:cs="Times New Roman"/>
          <w:sz w:val="20"/>
          <w:szCs w:val="20"/>
        </w:rPr>
        <w:t>CTPAT</w:t>
      </w:r>
      <w:r w:rsidR="009E3994" w:rsidRPr="009E3994">
        <w:rPr>
          <w:rFonts w:ascii="Cambria" w:eastAsia="Times New Roman" w:hAnsi="Cambria" w:cs="Times New Roman"/>
          <w:sz w:val="20"/>
          <w:szCs w:val="20"/>
        </w:rPr>
        <w:t xml:space="preserve"> </w:t>
      </w:r>
      <w:r w:rsidR="009E3994" w:rsidRPr="009E3994">
        <w:rPr>
          <w:rFonts w:ascii="Cambria" w:eastAsia="Times New Roman" w:hAnsi="Cambria" w:cs="Times New Roman"/>
          <w:sz w:val="20"/>
          <w:szCs w:val="20"/>
        </w:rPr>
        <w:sym w:font="Wingdings" w:char="F09E"/>
      </w:r>
      <w:r w:rsidR="009E3994" w:rsidRPr="009E3994">
        <w:rPr>
          <w:rFonts w:ascii="Cambria" w:eastAsia="Times New Roman" w:hAnsi="Cambria" w:cs="Times New Roman"/>
          <w:sz w:val="20"/>
          <w:szCs w:val="20"/>
        </w:rPr>
        <w:t xml:space="preserve"> Importer Self-Assessment  </w:t>
      </w:r>
      <w:r w:rsidR="009E3994" w:rsidRPr="009E3994">
        <w:rPr>
          <w:rFonts w:ascii="Cambria" w:eastAsia="Times New Roman" w:hAnsi="Cambria" w:cs="Times New Roman"/>
          <w:sz w:val="20"/>
          <w:szCs w:val="20"/>
        </w:rPr>
        <w:sym w:font="Wingdings" w:char="F09E"/>
      </w:r>
      <w:r w:rsidR="009E3994" w:rsidRPr="009E3994">
        <w:rPr>
          <w:rFonts w:ascii="Cambria" w:eastAsia="Times New Roman" w:hAnsi="Cambria" w:cs="Times New Roman"/>
          <w:sz w:val="20"/>
          <w:szCs w:val="20"/>
        </w:rPr>
        <w:t xml:space="preserve"> Supply Chain </w:t>
      </w:r>
      <w:r w:rsidR="009E3994" w:rsidRPr="009E3994">
        <w:rPr>
          <w:rFonts w:ascii="Cambria" w:eastAsia="Times New Roman" w:hAnsi="Cambria" w:cs="Times New Roman"/>
          <w:sz w:val="20"/>
          <w:szCs w:val="20"/>
        </w:rPr>
        <w:sym w:font="Wingdings" w:char="F09E"/>
      </w:r>
      <w:r w:rsidR="009E3994" w:rsidRPr="009E3994">
        <w:rPr>
          <w:rFonts w:ascii="Cambria" w:eastAsia="Times New Roman" w:hAnsi="Cambria" w:cs="Times New Roman"/>
          <w:sz w:val="20"/>
          <w:szCs w:val="20"/>
        </w:rPr>
        <w:t xml:space="preserve"> Government Liaison </w:t>
      </w:r>
      <w:r w:rsidR="009E3994" w:rsidRPr="009E3994">
        <w:rPr>
          <w:rFonts w:ascii="Cambria" w:eastAsia="Times New Roman" w:hAnsi="Cambria" w:cs="Times New Roman"/>
          <w:sz w:val="20"/>
          <w:szCs w:val="20"/>
        </w:rPr>
        <w:sym w:font="Wingdings" w:char="F09E"/>
      </w:r>
      <w:r w:rsidR="009E3994" w:rsidRPr="009E3994">
        <w:rPr>
          <w:rFonts w:ascii="Cambria" w:eastAsia="Times New Roman" w:hAnsi="Cambria" w:cs="Times New Roman"/>
          <w:sz w:val="20"/>
          <w:szCs w:val="20"/>
        </w:rPr>
        <w:t xml:space="preserve"> Customs Compliance</w:t>
      </w:r>
      <w:r>
        <w:rPr>
          <w:rFonts w:ascii="Cambria" w:eastAsia="Times New Roman" w:hAnsi="Cambria" w:cs="Times New Roman"/>
          <w:sz w:val="20"/>
          <w:szCs w:val="20"/>
        </w:rPr>
        <w:t xml:space="preserve">              </w:t>
      </w:r>
      <w:r w:rsidR="009E3994" w:rsidRPr="009E3994">
        <w:rPr>
          <w:rFonts w:ascii="Cambria" w:eastAsia="Times New Roman" w:hAnsi="Cambria" w:cs="Times New Roman"/>
          <w:sz w:val="20"/>
          <w:szCs w:val="20"/>
        </w:rPr>
        <w:sym w:font="Wingdings" w:char="F09E"/>
      </w:r>
      <w:r w:rsidR="009E3994" w:rsidRPr="009E3994">
        <w:rPr>
          <w:rFonts w:ascii="Cambria" w:eastAsia="Times New Roman" w:hAnsi="Cambria" w:cs="Times New Roman"/>
          <w:sz w:val="20"/>
          <w:szCs w:val="20"/>
        </w:rPr>
        <w:t xml:space="preserve"> Project Management  </w:t>
      </w:r>
      <w:r w:rsidR="009E3994" w:rsidRPr="009E3994">
        <w:rPr>
          <w:rFonts w:ascii="Cambria" w:eastAsia="Times New Roman" w:hAnsi="Cambria" w:cs="Times New Roman"/>
          <w:sz w:val="20"/>
          <w:szCs w:val="20"/>
        </w:rPr>
        <w:sym w:font="Wingdings" w:char="F09E"/>
      </w:r>
      <w:r w:rsidR="009E3994" w:rsidRPr="009E3994">
        <w:rPr>
          <w:rFonts w:ascii="Cambria" w:eastAsia="Times New Roman" w:hAnsi="Cambria" w:cs="Times New Roman"/>
          <w:sz w:val="20"/>
          <w:szCs w:val="20"/>
        </w:rPr>
        <w:t xml:space="preserve"> Operational </w:t>
      </w:r>
      <w:r w:rsidR="00361930">
        <w:rPr>
          <w:rFonts w:ascii="Cambria" w:eastAsia="Times New Roman" w:hAnsi="Cambria" w:cs="Times New Roman"/>
          <w:sz w:val="20"/>
          <w:szCs w:val="20"/>
        </w:rPr>
        <w:t xml:space="preserve">Efficiencies </w:t>
      </w:r>
      <w:r w:rsidR="009E3994" w:rsidRPr="009E3994">
        <w:rPr>
          <w:rFonts w:ascii="Cambria" w:eastAsia="Times New Roman" w:hAnsi="Cambria" w:cs="Times New Roman"/>
          <w:sz w:val="20"/>
          <w:szCs w:val="20"/>
        </w:rPr>
        <w:t xml:space="preserve">  </w:t>
      </w:r>
      <w:r w:rsidR="009E3994" w:rsidRPr="009E3994">
        <w:rPr>
          <w:rFonts w:ascii="Cambria" w:eastAsia="Times New Roman" w:hAnsi="Cambria" w:cs="Times New Roman"/>
          <w:sz w:val="20"/>
          <w:szCs w:val="20"/>
        </w:rPr>
        <w:sym w:font="Wingdings" w:char="F09E"/>
      </w:r>
      <w:r w:rsidR="009E3994" w:rsidRPr="009E3994">
        <w:rPr>
          <w:rFonts w:ascii="Cambria" w:eastAsia="Times New Roman" w:hAnsi="Cambria" w:cs="Times New Roman"/>
          <w:sz w:val="20"/>
          <w:szCs w:val="20"/>
        </w:rPr>
        <w:t xml:space="preserve"> Continuous Improvements </w:t>
      </w:r>
      <w:r w:rsidR="009E3994" w:rsidRPr="009E3994">
        <w:rPr>
          <w:rFonts w:ascii="Cambria" w:eastAsia="Times New Roman" w:hAnsi="Cambria" w:cs="Times New Roman"/>
          <w:sz w:val="20"/>
          <w:szCs w:val="20"/>
        </w:rPr>
        <w:sym w:font="Wingdings" w:char="F09E"/>
      </w:r>
      <w:r w:rsidR="009E3994" w:rsidRPr="009E3994">
        <w:rPr>
          <w:rFonts w:ascii="Cambria" w:eastAsia="Times New Roman" w:hAnsi="Cambria" w:cs="Times New Roman"/>
          <w:sz w:val="20"/>
          <w:szCs w:val="20"/>
        </w:rPr>
        <w:t xml:space="preserve"> </w:t>
      </w:r>
      <w:r>
        <w:rPr>
          <w:rFonts w:ascii="Cambria" w:eastAsia="Times New Roman" w:hAnsi="Cambria" w:cs="Times New Roman"/>
          <w:sz w:val="20"/>
          <w:szCs w:val="20"/>
        </w:rPr>
        <w:t>Trade Compliance Programs</w:t>
      </w:r>
      <w:r w:rsidR="009E3994" w:rsidRPr="009E3994">
        <w:rPr>
          <w:rFonts w:ascii="Cambria" w:eastAsia="Times New Roman" w:hAnsi="Cambria" w:cs="Times New Roman"/>
          <w:sz w:val="20"/>
          <w:szCs w:val="20"/>
        </w:rPr>
        <w:t xml:space="preserve"> </w:t>
      </w:r>
      <w:r w:rsidR="009E3994" w:rsidRPr="009E3994">
        <w:rPr>
          <w:rFonts w:ascii="Cambria" w:eastAsia="Times New Roman" w:hAnsi="Cambria" w:cs="Times New Roman"/>
          <w:sz w:val="20"/>
          <w:szCs w:val="20"/>
        </w:rPr>
        <w:sym w:font="Wingdings" w:char="F09E"/>
      </w:r>
      <w:r w:rsidR="009E3994" w:rsidRPr="009E3994">
        <w:rPr>
          <w:rFonts w:ascii="Cambria" w:eastAsia="Times New Roman" w:hAnsi="Cambria" w:cs="Times New Roman"/>
          <w:sz w:val="20"/>
          <w:szCs w:val="20"/>
        </w:rPr>
        <w:t xml:space="preserve"> </w:t>
      </w:r>
      <w:r>
        <w:rPr>
          <w:rFonts w:ascii="Cambria" w:eastAsia="Times New Roman" w:hAnsi="Cambria" w:cs="Times New Roman"/>
          <w:sz w:val="20"/>
          <w:szCs w:val="20"/>
        </w:rPr>
        <w:t xml:space="preserve">FTZ   </w:t>
      </w:r>
      <w:r w:rsidR="0069133C" w:rsidRPr="009E3994">
        <w:rPr>
          <w:rFonts w:ascii="Cambria" w:eastAsia="Times New Roman" w:hAnsi="Cambria" w:cs="Times New Roman"/>
          <w:sz w:val="20"/>
          <w:szCs w:val="20"/>
        </w:rPr>
        <w:sym w:font="Wingdings" w:char="F09E"/>
      </w:r>
      <w:r w:rsidR="0069133C">
        <w:rPr>
          <w:rFonts w:ascii="Cambria" w:eastAsia="Times New Roman" w:hAnsi="Cambria" w:cs="Times New Roman"/>
          <w:sz w:val="20"/>
          <w:szCs w:val="20"/>
        </w:rPr>
        <w:t>SAP</w:t>
      </w:r>
      <w:r>
        <w:rPr>
          <w:rFonts w:ascii="Cambria" w:eastAsia="Times New Roman" w:hAnsi="Cambria" w:cs="Times New Roman"/>
          <w:sz w:val="20"/>
          <w:szCs w:val="20"/>
        </w:rPr>
        <w:t xml:space="preserve">                           </w:t>
      </w:r>
      <w:r w:rsidRPr="009E3994">
        <w:rPr>
          <w:rFonts w:ascii="Cambria" w:eastAsia="Times New Roman" w:hAnsi="Cambria" w:cs="Times New Roman"/>
          <w:sz w:val="20"/>
          <w:szCs w:val="20"/>
        </w:rPr>
        <w:sym w:font="Wingdings" w:char="F09E"/>
      </w:r>
      <w:r>
        <w:rPr>
          <w:rFonts w:ascii="Cambria" w:eastAsia="Times New Roman" w:hAnsi="Cambria" w:cs="Times New Roman"/>
          <w:sz w:val="20"/>
          <w:szCs w:val="20"/>
        </w:rPr>
        <w:t xml:space="preserve">Teamwork </w:t>
      </w:r>
      <w:r w:rsidRPr="009E3994">
        <w:rPr>
          <w:rFonts w:ascii="Cambria" w:eastAsia="Times New Roman" w:hAnsi="Cambria" w:cs="Times New Roman"/>
          <w:sz w:val="20"/>
          <w:szCs w:val="20"/>
        </w:rPr>
        <w:sym w:font="Wingdings" w:char="F09E"/>
      </w:r>
      <w:r w:rsidRPr="009E3994">
        <w:rPr>
          <w:rFonts w:ascii="Cambria" w:eastAsia="Times New Roman" w:hAnsi="Cambria" w:cs="Times New Roman"/>
          <w:sz w:val="20"/>
          <w:szCs w:val="20"/>
        </w:rPr>
        <w:t xml:space="preserve"> </w:t>
      </w:r>
      <w:r>
        <w:rPr>
          <w:rFonts w:ascii="Cambria" w:eastAsia="Times New Roman" w:hAnsi="Cambria" w:cs="Times New Roman"/>
          <w:sz w:val="20"/>
          <w:szCs w:val="20"/>
        </w:rPr>
        <w:t xml:space="preserve">Leadership </w:t>
      </w:r>
      <w:bookmarkStart w:id="1" w:name="_Hlk93859289"/>
      <w:r>
        <w:rPr>
          <w:rFonts w:ascii="Cambria" w:eastAsia="Times New Roman" w:hAnsi="Cambria" w:cs="Times New Roman"/>
          <w:sz w:val="20"/>
          <w:szCs w:val="20"/>
        </w:rPr>
        <w:t xml:space="preserve"> </w:t>
      </w:r>
      <w:r w:rsidRPr="009E3994">
        <w:rPr>
          <w:rFonts w:ascii="Cambria" w:eastAsia="Times New Roman" w:hAnsi="Cambria" w:cs="Times New Roman"/>
          <w:sz w:val="20"/>
          <w:szCs w:val="20"/>
        </w:rPr>
        <w:sym w:font="Wingdings" w:char="F09E"/>
      </w:r>
      <w:r w:rsidRPr="009E3994">
        <w:rPr>
          <w:rFonts w:ascii="Cambria" w:eastAsia="Times New Roman" w:hAnsi="Cambria" w:cs="Times New Roman"/>
          <w:sz w:val="20"/>
          <w:szCs w:val="20"/>
        </w:rPr>
        <w:t xml:space="preserve"> </w:t>
      </w:r>
      <w:bookmarkEnd w:id="1"/>
      <w:r>
        <w:rPr>
          <w:rFonts w:ascii="Cambria" w:eastAsia="Times New Roman" w:hAnsi="Cambria" w:cs="Times New Roman"/>
          <w:sz w:val="20"/>
          <w:szCs w:val="20"/>
        </w:rPr>
        <w:t xml:space="preserve">Bilingual </w:t>
      </w:r>
      <w:r w:rsidR="0083557D">
        <w:rPr>
          <w:rFonts w:ascii="Cambria" w:eastAsia="Times New Roman" w:hAnsi="Cambria" w:cs="Times New Roman"/>
          <w:sz w:val="20"/>
          <w:szCs w:val="20"/>
        </w:rPr>
        <w:t>(English/Spanish)</w:t>
      </w:r>
      <w:r w:rsidR="00CE06F8">
        <w:rPr>
          <w:rFonts w:ascii="Cambria" w:eastAsia="Times New Roman" w:hAnsi="Cambria" w:cs="Times New Roman"/>
          <w:sz w:val="20"/>
          <w:szCs w:val="20"/>
        </w:rPr>
        <w:t xml:space="preserve"> and Multi-cultural</w:t>
      </w:r>
      <w:r w:rsidR="0083557D">
        <w:rPr>
          <w:rFonts w:ascii="Cambria" w:eastAsia="Times New Roman" w:hAnsi="Cambria" w:cs="Times New Roman"/>
          <w:sz w:val="20"/>
          <w:szCs w:val="20"/>
        </w:rPr>
        <w:t xml:space="preserve"> background</w:t>
      </w:r>
    </w:p>
    <w:p w14:paraId="2DF0F7AC" w14:textId="404F31E6" w:rsidR="009E3994" w:rsidRPr="009E3994" w:rsidRDefault="009E3994" w:rsidP="009E3994">
      <w:pPr>
        <w:spacing w:after="60" w:line="276" w:lineRule="auto"/>
        <w:jc w:val="center"/>
        <w:rPr>
          <w:rFonts w:ascii="Cambria" w:eastAsia="Times New Roman" w:hAnsi="Cambria" w:cs="Times New Roman"/>
          <w:sz w:val="20"/>
          <w:szCs w:val="20"/>
        </w:rPr>
      </w:pPr>
      <w:r w:rsidRPr="009E3994">
        <w:rPr>
          <w:rFonts w:ascii="Cambria" w:eastAsia="Times New Roman" w:hAnsi="Cambria" w:cs="Times New Roman"/>
          <w:sz w:val="20"/>
          <w:szCs w:val="20"/>
        </w:rPr>
        <w:t xml:space="preserve"> </w:t>
      </w:r>
    </w:p>
    <w:p w14:paraId="105A4632" w14:textId="77777777" w:rsidR="009E3994" w:rsidRPr="009E3994" w:rsidRDefault="009E3994" w:rsidP="009E3994">
      <w:pPr>
        <w:pBdr>
          <w:top w:val="single" w:sz="4" w:space="1" w:color="1F3864" w:themeColor="accent1" w:themeShade="80"/>
          <w:bottom w:val="single" w:sz="12" w:space="1" w:color="1F3864" w:themeColor="accent1" w:themeShade="80"/>
        </w:pBdr>
        <w:shd w:val="clear" w:color="auto" w:fill="F2F2F2" w:themeFill="background1" w:themeFillShade="F2"/>
        <w:spacing w:after="0" w:line="276" w:lineRule="auto"/>
        <w:jc w:val="center"/>
        <w:rPr>
          <w:rFonts w:ascii="Cambria" w:eastAsia="Times New Roman" w:hAnsi="Cambria" w:cs="Times New Roman"/>
          <w:b/>
          <w:smallCaps/>
          <w:color w:val="1F3864" w:themeColor="accent1" w:themeShade="80"/>
          <w:sz w:val="20"/>
          <w:szCs w:val="20"/>
        </w:rPr>
      </w:pPr>
      <w:r w:rsidRPr="009E3994">
        <w:rPr>
          <w:rFonts w:ascii="Cambria" w:eastAsia="Times New Roman" w:hAnsi="Cambria" w:cs="Times New Roman"/>
          <w:b/>
          <w:smallCaps/>
          <w:color w:val="1F3864" w:themeColor="accent1" w:themeShade="80"/>
          <w:sz w:val="24"/>
          <w:szCs w:val="20"/>
        </w:rPr>
        <w:t>Professional Experience</w:t>
      </w:r>
    </w:p>
    <w:p w14:paraId="7243B54B" w14:textId="09E8AF0B" w:rsidR="009E3994" w:rsidRDefault="009E3994" w:rsidP="0083557D">
      <w:pPr>
        <w:tabs>
          <w:tab w:val="right" w:pos="10800"/>
        </w:tabs>
        <w:spacing w:before="60" w:after="0" w:line="360" w:lineRule="auto"/>
        <w:jc w:val="both"/>
        <w:rPr>
          <w:rFonts w:ascii="Cambria" w:eastAsia="Times New Roman" w:hAnsi="Cambria" w:cs="Times New Roman"/>
          <w:sz w:val="21"/>
          <w:szCs w:val="21"/>
        </w:rPr>
      </w:pPr>
      <w:r w:rsidRPr="009E3994">
        <w:rPr>
          <w:rFonts w:ascii="Cambria" w:eastAsia="Times New Roman" w:hAnsi="Cambria" w:cs="Times New Roman"/>
          <w:b/>
          <w:bCs/>
          <w:sz w:val="21"/>
          <w:szCs w:val="21"/>
        </w:rPr>
        <w:t xml:space="preserve">NEWELL BRANDS, Inc. </w:t>
      </w:r>
      <w:r w:rsidRPr="009E3994">
        <w:rPr>
          <w:rFonts w:ascii="Cambria" w:eastAsia="Times New Roman" w:hAnsi="Cambria" w:cs="Times New Roman"/>
          <w:sz w:val="21"/>
          <w:szCs w:val="21"/>
        </w:rPr>
        <w:tab/>
      </w:r>
      <w:r w:rsidRPr="00765EB3">
        <w:rPr>
          <w:rFonts w:ascii="Cambria" w:eastAsia="Times New Roman" w:hAnsi="Cambria" w:cs="Times New Roman"/>
          <w:b/>
          <w:bCs/>
          <w:sz w:val="21"/>
          <w:szCs w:val="21"/>
        </w:rPr>
        <w:t xml:space="preserve"> 2000 – Present</w:t>
      </w:r>
    </w:p>
    <w:p w14:paraId="2A8EE2E0" w14:textId="77777777" w:rsidR="009E3994" w:rsidRPr="009E3994" w:rsidRDefault="009E3994" w:rsidP="0083557D">
      <w:pPr>
        <w:tabs>
          <w:tab w:val="right" w:pos="10800"/>
        </w:tabs>
        <w:spacing w:after="0" w:line="360" w:lineRule="auto"/>
        <w:jc w:val="both"/>
        <w:rPr>
          <w:rFonts w:ascii="Cambria" w:eastAsia="Times New Roman" w:hAnsi="Cambria" w:cs="Times New Roman"/>
          <w:b/>
          <w:color w:val="2F5496" w:themeColor="accent1" w:themeShade="BF"/>
          <w:sz w:val="21"/>
          <w:szCs w:val="21"/>
        </w:rPr>
      </w:pPr>
      <w:r w:rsidRPr="009E3994">
        <w:rPr>
          <w:rFonts w:ascii="Cambria" w:eastAsia="Times New Roman" w:hAnsi="Cambria" w:cs="Times New Roman"/>
          <w:b/>
          <w:color w:val="2F5496" w:themeColor="accent1" w:themeShade="BF"/>
          <w:sz w:val="21"/>
          <w:szCs w:val="21"/>
        </w:rPr>
        <w:t xml:space="preserve">Global Trade Compliance Corporate Lead (2022-Present) </w:t>
      </w:r>
    </w:p>
    <w:p w14:paraId="46A2831E" w14:textId="57767F90" w:rsidR="009E3994" w:rsidRPr="009E3994" w:rsidRDefault="009E3994" w:rsidP="009E3994">
      <w:pPr>
        <w:spacing w:after="0" w:line="276" w:lineRule="auto"/>
        <w:ind w:right="-180"/>
        <w:jc w:val="both"/>
        <w:rPr>
          <w:rFonts w:ascii="Cambria" w:eastAsia="Times New Roman" w:hAnsi="Cambria" w:cs="Times New Roman"/>
          <w:sz w:val="20"/>
          <w:szCs w:val="20"/>
        </w:rPr>
      </w:pPr>
      <w:r w:rsidRPr="009E3994">
        <w:rPr>
          <w:rFonts w:ascii="Cambria" w:eastAsia="Times New Roman" w:hAnsi="Cambria" w:cs="Times New Roman"/>
          <w:sz w:val="20"/>
          <w:szCs w:val="20"/>
        </w:rPr>
        <w:t xml:space="preserve">Role recently created </w:t>
      </w:r>
      <w:r w:rsidR="008A4F89">
        <w:rPr>
          <w:rFonts w:ascii="Cambria" w:eastAsia="Times New Roman" w:hAnsi="Cambria" w:cs="Times New Roman"/>
          <w:sz w:val="20"/>
          <w:szCs w:val="20"/>
        </w:rPr>
        <w:t xml:space="preserve">as result of </w:t>
      </w:r>
      <w:r w:rsidRPr="009E3994">
        <w:rPr>
          <w:rFonts w:ascii="Cambria" w:eastAsia="Times New Roman" w:hAnsi="Cambria" w:cs="Times New Roman"/>
          <w:sz w:val="20"/>
          <w:szCs w:val="20"/>
        </w:rPr>
        <w:t xml:space="preserve">a company-wide restructuring to support the </w:t>
      </w:r>
      <w:r w:rsidR="008A4F89">
        <w:rPr>
          <w:rFonts w:ascii="Cambria" w:eastAsia="Times New Roman" w:hAnsi="Cambria" w:cs="Times New Roman"/>
          <w:sz w:val="20"/>
          <w:szCs w:val="20"/>
        </w:rPr>
        <w:t>corporate driven policy across all busines</w:t>
      </w:r>
      <w:r w:rsidR="00D224FD">
        <w:rPr>
          <w:rFonts w:ascii="Cambria" w:eastAsia="Times New Roman" w:hAnsi="Cambria" w:cs="Times New Roman"/>
          <w:sz w:val="20"/>
          <w:szCs w:val="20"/>
        </w:rPr>
        <w:t>s</w:t>
      </w:r>
      <w:r w:rsidR="008A4F89">
        <w:rPr>
          <w:rFonts w:ascii="Cambria" w:eastAsia="Times New Roman" w:hAnsi="Cambria" w:cs="Times New Roman"/>
          <w:sz w:val="20"/>
          <w:szCs w:val="20"/>
        </w:rPr>
        <w:t xml:space="preserve"> units</w:t>
      </w:r>
      <w:r w:rsidR="002F215C">
        <w:rPr>
          <w:rFonts w:ascii="Cambria" w:eastAsia="Times New Roman" w:hAnsi="Cambria" w:cs="Times New Roman"/>
          <w:sz w:val="20"/>
          <w:szCs w:val="20"/>
        </w:rPr>
        <w:t xml:space="preserve"> for management d</w:t>
      </w:r>
      <w:r w:rsidRPr="009E3994">
        <w:rPr>
          <w:rFonts w:ascii="Cambria" w:eastAsia="Times New Roman" w:hAnsi="Cambria" w:cs="Times New Roman"/>
          <w:sz w:val="20"/>
          <w:szCs w:val="20"/>
        </w:rPr>
        <w:t>evelopment</w:t>
      </w:r>
      <w:r w:rsidR="002F215C">
        <w:rPr>
          <w:rFonts w:ascii="Cambria" w:eastAsia="Times New Roman" w:hAnsi="Cambria" w:cs="Times New Roman"/>
          <w:sz w:val="20"/>
          <w:szCs w:val="20"/>
        </w:rPr>
        <w:t xml:space="preserve"> </w:t>
      </w:r>
      <w:r w:rsidRPr="009E3994">
        <w:rPr>
          <w:rFonts w:ascii="Cambria" w:eastAsia="Times New Roman" w:hAnsi="Cambria" w:cs="Times New Roman"/>
          <w:sz w:val="20"/>
          <w:szCs w:val="20"/>
        </w:rPr>
        <w:t xml:space="preserve">and delivery of an operational trade framework while leveraging extensive trade compliance leadership </w:t>
      </w:r>
      <w:r w:rsidR="002F215C">
        <w:rPr>
          <w:rFonts w:ascii="Cambria" w:eastAsia="Times New Roman" w:hAnsi="Cambria" w:cs="Times New Roman"/>
          <w:sz w:val="20"/>
          <w:szCs w:val="20"/>
        </w:rPr>
        <w:t xml:space="preserve">experience. </w:t>
      </w:r>
      <w:r w:rsidR="00F44466">
        <w:rPr>
          <w:rFonts w:ascii="Cambria" w:eastAsia="Times New Roman" w:hAnsi="Cambria" w:cs="Times New Roman"/>
          <w:sz w:val="20"/>
          <w:szCs w:val="20"/>
        </w:rPr>
        <w:t xml:space="preserve"> Responsibilities include: </w:t>
      </w:r>
      <w:r w:rsidRPr="009E3994">
        <w:rPr>
          <w:rFonts w:ascii="Cambria" w:eastAsia="Times New Roman" w:hAnsi="Cambria" w:cs="Times New Roman"/>
          <w:sz w:val="20"/>
          <w:szCs w:val="20"/>
        </w:rPr>
        <w:t xml:space="preserve"> </w:t>
      </w:r>
    </w:p>
    <w:p w14:paraId="723E3705" w14:textId="647290F6" w:rsidR="00DE595E" w:rsidRDefault="002D40BE" w:rsidP="009E3994">
      <w:pPr>
        <w:pStyle w:val="ListParagraph"/>
        <w:numPr>
          <w:ilvl w:val="0"/>
          <w:numId w:val="1"/>
        </w:numPr>
        <w:tabs>
          <w:tab w:val="left" w:pos="540"/>
        </w:tabs>
        <w:spacing w:after="0" w:line="276" w:lineRule="auto"/>
        <w:jc w:val="both"/>
        <w:rPr>
          <w:rFonts w:ascii="Cambria" w:eastAsia="Times New Roman" w:hAnsi="Cambria" w:cs="Times New Roman"/>
          <w:bCs/>
          <w:sz w:val="20"/>
          <w:szCs w:val="20"/>
        </w:rPr>
      </w:pPr>
      <w:r w:rsidRPr="00DE595E">
        <w:rPr>
          <w:rFonts w:ascii="Cambria" w:eastAsia="Times New Roman" w:hAnsi="Cambria" w:cs="Times New Roman"/>
          <w:bCs/>
          <w:sz w:val="20"/>
          <w:szCs w:val="20"/>
        </w:rPr>
        <w:t xml:space="preserve">Develop, document, and deploy an operational trade </w:t>
      </w:r>
      <w:r w:rsidR="00F44466">
        <w:rPr>
          <w:rFonts w:ascii="Cambria" w:eastAsia="Times New Roman" w:hAnsi="Cambria" w:cs="Times New Roman"/>
          <w:bCs/>
          <w:sz w:val="20"/>
          <w:szCs w:val="20"/>
        </w:rPr>
        <w:t>platform</w:t>
      </w:r>
      <w:r w:rsidRPr="00DE595E">
        <w:rPr>
          <w:rFonts w:ascii="Cambria" w:eastAsia="Times New Roman" w:hAnsi="Cambria" w:cs="Times New Roman"/>
          <w:bCs/>
          <w:sz w:val="20"/>
          <w:szCs w:val="20"/>
        </w:rPr>
        <w:t xml:space="preserve"> (import and Export), that will be followed by the business units across the company. </w:t>
      </w:r>
    </w:p>
    <w:p w14:paraId="638CE446" w14:textId="1E3AE7B7" w:rsidR="009E3994" w:rsidRPr="009E3994" w:rsidRDefault="00DE595E" w:rsidP="009E3994">
      <w:pPr>
        <w:pStyle w:val="ListParagraph"/>
        <w:numPr>
          <w:ilvl w:val="0"/>
          <w:numId w:val="1"/>
        </w:numPr>
        <w:tabs>
          <w:tab w:val="left" w:pos="540"/>
        </w:tabs>
        <w:spacing w:after="0" w:line="276" w:lineRule="auto"/>
        <w:jc w:val="both"/>
        <w:rPr>
          <w:rFonts w:ascii="Cambria" w:eastAsia="Times New Roman" w:hAnsi="Cambria" w:cs="Times New Roman"/>
          <w:bCs/>
          <w:sz w:val="20"/>
          <w:szCs w:val="20"/>
        </w:rPr>
      </w:pPr>
      <w:r w:rsidRPr="00DE595E">
        <w:rPr>
          <w:rFonts w:ascii="Cambria" w:eastAsia="Times New Roman" w:hAnsi="Cambria" w:cs="Times New Roman"/>
          <w:bCs/>
          <w:sz w:val="20"/>
          <w:szCs w:val="20"/>
        </w:rPr>
        <w:t>Engineer a</w:t>
      </w:r>
      <w:r w:rsidR="009E3994" w:rsidRPr="009E3994">
        <w:rPr>
          <w:rFonts w:ascii="Cambria" w:eastAsia="Times New Roman" w:hAnsi="Cambria" w:cs="Times New Roman"/>
          <w:bCs/>
          <w:sz w:val="20"/>
          <w:szCs w:val="20"/>
        </w:rPr>
        <w:t xml:space="preserve"> </w:t>
      </w:r>
      <w:r w:rsidR="00F44466">
        <w:rPr>
          <w:rFonts w:ascii="Cambria" w:eastAsia="Times New Roman" w:hAnsi="Cambria" w:cs="Times New Roman"/>
          <w:bCs/>
          <w:sz w:val="20"/>
          <w:szCs w:val="20"/>
        </w:rPr>
        <w:t xml:space="preserve">framework </w:t>
      </w:r>
      <w:r w:rsidR="009E3994" w:rsidRPr="009E3994">
        <w:rPr>
          <w:rFonts w:ascii="Cambria" w:eastAsia="Times New Roman" w:hAnsi="Cambria" w:cs="Times New Roman"/>
          <w:bCs/>
          <w:sz w:val="20"/>
          <w:szCs w:val="20"/>
        </w:rPr>
        <w:t xml:space="preserve">for the empowerment of brokers, providing them with the necessary information for the independent processing of imports on every shipment </w:t>
      </w:r>
    </w:p>
    <w:p w14:paraId="2F1E2B1F" w14:textId="2068A9F3" w:rsidR="009E3994" w:rsidRDefault="00DE595E" w:rsidP="009E3994">
      <w:pPr>
        <w:numPr>
          <w:ilvl w:val="0"/>
          <w:numId w:val="1"/>
        </w:numPr>
        <w:tabs>
          <w:tab w:val="left" w:pos="540"/>
        </w:tabs>
        <w:spacing w:after="0" w:line="276" w:lineRule="auto"/>
        <w:ind w:right="-77"/>
        <w:jc w:val="both"/>
        <w:rPr>
          <w:rFonts w:ascii="Cambria" w:eastAsia="Times New Roman" w:hAnsi="Cambria" w:cs="Times New Roman"/>
          <w:bCs/>
          <w:sz w:val="20"/>
          <w:szCs w:val="20"/>
        </w:rPr>
      </w:pPr>
      <w:r>
        <w:rPr>
          <w:rFonts w:ascii="Cambria" w:eastAsia="Times New Roman" w:hAnsi="Cambria" w:cs="Times New Roman"/>
          <w:bCs/>
          <w:sz w:val="20"/>
          <w:szCs w:val="20"/>
        </w:rPr>
        <w:t xml:space="preserve">Provide leadership and support to </w:t>
      </w:r>
      <w:r w:rsidR="009E3994" w:rsidRPr="009E3994">
        <w:rPr>
          <w:rFonts w:ascii="Cambria" w:eastAsia="Times New Roman" w:hAnsi="Cambria" w:cs="Times New Roman"/>
          <w:bCs/>
          <w:sz w:val="20"/>
          <w:szCs w:val="20"/>
        </w:rPr>
        <w:t>Newell</w:t>
      </w:r>
      <w:r>
        <w:rPr>
          <w:rFonts w:ascii="Cambria" w:eastAsia="Times New Roman" w:hAnsi="Cambria" w:cs="Times New Roman"/>
          <w:bCs/>
          <w:sz w:val="20"/>
          <w:szCs w:val="20"/>
        </w:rPr>
        <w:t xml:space="preserve">’s </w:t>
      </w:r>
      <w:r w:rsidR="009E3994" w:rsidRPr="009E3994">
        <w:rPr>
          <w:rFonts w:ascii="Cambria" w:eastAsia="Times New Roman" w:hAnsi="Cambria" w:cs="Times New Roman"/>
          <w:bCs/>
          <w:sz w:val="20"/>
          <w:szCs w:val="20"/>
        </w:rPr>
        <w:t xml:space="preserve">Maquiladora trade teams, play a vital role in the standardization and perfection of the existing Maquiladora process </w:t>
      </w:r>
    </w:p>
    <w:p w14:paraId="01807EED" w14:textId="77777777" w:rsidR="00DE595E" w:rsidRPr="00DE595E" w:rsidRDefault="00DE595E" w:rsidP="00DE595E">
      <w:pPr>
        <w:pStyle w:val="ListParagraph"/>
        <w:numPr>
          <w:ilvl w:val="0"/>
          <w:numId w:val="1"/>
        </w:numPr>
        <w:rPr>
          <w:rFonts w:ascii="Cambria" w:eastAsia="Times New Roman" w:hAnsi="Cambria" w:cs="Times New Roman"/>
          <w:bCs/>
          <w:sz w:val="20"/>
          <w:szCs w:val="20"/>
        </w:rPr>
      </w:pPr>
      <w:r w:rsidRPr="00DE595E">
        <w:rPr>
          <w:rFonts w:ascii="Cambria" w:eastAsia="Times New Roman" w:hAnsi="Cambria" w:cs="Times New Roman"/>
          <w:bCs/>
          <w:sz w:val="20"/>
          <w:szCs w:val="20"/>
        </w:rPr>
        <w:t>Ensure the timely filing of the businesses Importer Security Filings (ISF)</w:t>
      </w:r>
    </w:p>
    <w:p w14:paraId="0CB0F151" w14:textId="128AFD90" w:rsidR="00DE595E" w:rsidRDefault="00DE595E" w:rsidP="00DE595E">
      <w:pPr>
        <w:pStyle w:val="ListParagraph"/>
        <w:numPr>
          <w:ilvl w:val="0"/>
          <w:numId w:val="1"/>
        </w:numPr>
        <w:rPr>
          <w:rFonts w:ascii="Cambria" w:eastAsia="Times New Roman" w:hAnsi="Cambria" w:cs="Times New Roman"/>
          <w:bCs/>
          <w:sz w:val="20"/>
          <w:szCs w:val="20"/>
        </w:rPr>
      </w:pPr>
      <w:r w:rsidRPr="00DE595E">
        <w:rPr>
          <w:rFonts w:ascii="Cambria" w:eastAsia="Times New Roman" w:hAnsi="Cambria" w:cs="Times New Roman"/>
          <w:bCs/>
          <w:sz w:val="20"/>
          <w:szCs w:val="20"/>
        </w:rPr>
        <w:t>Interface with US Customs and Border Protection (CBP) and governmental agencies, as needed, to comply with information and/or audit requirements.</w:t>
      </w:r>
    </w:p>
    <w:p w14:paraId="792E2C97" w14:textId="3E94B820" w:rsidR="00DE595E" w:rsidRDefault="00DE595E" w:rsidP="00DE595E">
      <w:pPr>
        <w:pStyle w:val="ListParagraph"/>
        <w:numPr>
          <w:ilvl w:val="0"/>
          <w:numId w:val="1"/>
        </w:numPr>
        <w:rPr>
          <w:rFonts w:ascii="Cambria" w:eastAsia="Times New Roman" w:hAnsi="Cambria" w:cs="Times New Roman"/>
          <w:bCs/>
          <w:sz w:val="20"/>
          <w:szCs w:val="20"/>
        </w:rPr>
      </w:pPr>
      <w:r w:rsidRPr="00DE595E">
        <w:rPr>
          <w:rFonts w:ascii="Cambria" w:eastAsia="Times New Roman" w:hAnsi="Cambria" w:cs="Times New Roman"/>
          <w:bCs/>
          <w:sz w:val="20"/>
          <w:szCs w:val="20"/>
        </w:rPr>
        <w:t>Interface with worldwide subsidiaries and departments to communicate customs information, policies, and procedures</w:t>
      </w:r>
    </w:p>
    <w:p w14:paraId="313CB64B" w14:textId="77777777" w:rsidR="009E3994" w:rsidRPr="009E3994" w:rsidRDefault="009E3994" w:rsidP="009E3994">
      <w:pPr>
        <w:tabs>
          <w:tab w:val="right" w:pos="10800"/>
        </w:tabs>
        <w:spacing w:before="60" w:after="0" w:line="276" w:lineRule="auto"/>
        <w:jc w:val="both"/>
        <w:rPr>
          <w:rFonts w:ascii="Cambria" w:eastAsia="Times New Roman" w:hAnsi="Cambria" w:cs="Times New Roman"/>
          <w:b/>
          <w:color w:val="2F5496" w:themeColor="accent1" w:themeShade="BF"/>
          <w:sz w:val="21"/>
          <w:szCs w:val="21"/>
        </w:rPr>
      </w:pPr>
      <w:bookmarkStart w:id="2" w:name="_Hlk72836166"/>
      <w:r w:rsidRPr="009E3994">
        <w:rPr>
          <w:rFonts w:ascii="Cambria" w:eastAsia="Times New Roman" w:hAnsi="Cambria" w:cs="Times New Roman"/>
          <w:b/>
          <w:bCs/>
          <w:sz w:val="21"/>
          <w:szCs w:val="21"/>
        </w:rPr>
        <w:t xml:space="preserve"> </w:t>
      </w:r>
      <w:bookmarkStart w:id="3" w:name="_Hlk93397696"/>
      <w:r w:rsidRPr="009E3994">
        <w:rPr>
          <w:rFonts w:ascii="Cambria" w:eastAsia="Times New Roman" w:hAnsi="Cambria" w:cs="Times New Roman"/>
          <w:b/>
          <w:color w:val="2F5496" w:themeColor="accent1" w:themeShade="BF"/>
          <w:sz w:val="21"/>
          <w:szCs w:val="21"/>
        </w:rPr>
        <w:t xml:space="preserve">Director of International Trade and Customs (2006-2021) </w:t>
      </w:r>
    </w:p>
    <w:bookmarkEnd w:id="3"/>
    <w:p w14:paraId="23BB248A" w14:textId="71658B55" w:rsidR="000450C9" w:rsidRDefault="009E3994" w:rsidP="009E3994">
      <w:pPr>
        <w:spacing w:after="0" w:line="276" w:lineRule="auto"/>
        <w:ind w:right="-180"/>
        <w:jc w:val="both"/>
        <w:rPr>
          <w:rFonts w:ascii="Cambria" w:eastAsia="Times New Roman" w:hAnsi="Cambria" w:cs="Times New Roman"/>
          <w:sz w:val="20"/>
          <w:szCs w:val="20"/>
        </w:rPr>
      </w:pPr>
      <w:r w:rsidRPr="009E3994">
        <w:rPr>
          <w:rFonts w:ascii="Cambria" w:eastAsia="Times New Roman" w:hAnsi="Cambria" w:cs="Times New Roman"/>
          <w:sz w:val="20"/>
          <w:szCs w:val="20"/>
        </w:rPr>
        <w:t xml:space="preserve"> </w:t>
      </w:r>
      <w:r w:rsidR="001702B9">
        <w:rPr>
          <w:rFonts w:ascii="Cambria" w:eastAsia="Times New Roman" w:hAnsi="Cambria" w:cs="Times New Roman"/>
          <w:sz w:val="20"/>
          <w:szCs w:val="20"/>
        </w:rPr>
        <w:t xml:space="preserve">Successfully provided </w:t>
      </w:r>
      <w:r w:rsidRPr="009E3994">
        <w:rPr>
          <w:rFonts w:ascii="Cambria" w:eastAsia="Times New Roman" w:hAnsi="Cambria" w:cs="Times New Roman"/>
          <w:sz w:val="20"/>
          <w:szCs w:val="20"/>
        </w:rPr>
        <w:t xml:space="preserve">strategic compliance leadership to the supply chain, product management, and sales group while </w:t>
      </w:r>
      <w:r w:rsidR="001702B9">
        <w:rPr>
          <w:rFonts w:ascii="Cambria" w:eastAsia="Times New Roman" w:hAnsi="Cambria" w:cs="Times New Roman"/>
          <w:sz w:val="20"/>
          <w:szCs w:val="20"/>
        </w:rPr>
        <w:t xml:space="preserve">retaining </w:t>
      </w:r>
      <w:r w:rsidRPr="009E3994">
        <w:rPr>
          <w:rFonts w:ascii="Cambria" w:eastAsia="Times New Roman" w:hAnsi="Cambria" w:cs="Times New Roman"/>
          <w:sz w:val="20"/>
          <w:szCs w:val="20"/>
        </w:rPr>
        <w:t xml:space="preserve">sole responsibility for developing globally integrated solutions and providing recommendations for </w:t>
      </w:r>
      <w:r w:rsidR="000450C9" w:rsidRPr="009E3994">
        <w:rPr>
          <w:rFonts w:ascii="Cambria" w:eastAsia="Times New Roman" w:hAnsi="Cambria" w:cs="Times New Roman"/>
          <w:sz w:val="20"/>
          <w:szCs w:val="20"/>
        </w:rPr>
        <w:t xml:space="preserve">worldwide </w:t>
      </w:r>
      <w:r w:rsidR="000450C9">
        <w:rPr>
          <w:rFonts w:ascii="Cambria" w:eastAsia="Times New Roman" w:hAnsi="Cambria" w:cs="Times New Roman"/>
          <w:sz w:val="20"/>
          <w:szCs w:val="20"/>
        </w:rPr>
        <w:t>customs</w:t>
      </w:r>
      <w:r w:rsidRPr="009E3994">
        <w:rPr>
          <w:rFonts w:ascii="Cambria" w:eastAsia="Times New Roman" w:hAnsi="Cambria" w:cs="Times New Roman"/>
          <w:sz w:val="20"/>
          <w:szCs w:val="20"/>
        </w:rPr>
        <w:t xml:space="preserve"> compliance</w:t>
      </w:r>
      <w:r w:rsidR="000450C9">
        <w:rPr>
          <w:rFonts w:ascii="Cambria" w:eastAsia="Times New Roman" w:hAnsi="Cambria" w:cs="Times New Roman"/>
          <w:sz w:val="20"/>
          <w:szCs w:val="20"/>
        </w:rPr>
        <w:t>.</w:t>
      </w:r>
    </w:p>
    <w:p w14:paraId="012A2A13" w14:textId="476C6067" w:rsidR="009E3994" w:rsidRPr="009E3994" w:rsidRDefault="009E3994" w:rsidP="009E3994">
      <w:pPr>
        <w:spacing w:after="0" w:line="276" w:lineRule="auto"/>
        <w:ind w:right="-180"/>
        <w:jc w:val="both"/>
        <w:rPr>
          <w:rFonts w:ascii="Cambria" w:eastAsia="Times New Roman" w:hAnsi="Cambria" w:cs="Times New Roman"/>
          <w:sz w:val="20"/>
          <w:szCs w:val="20"/>
        </w:rPr>
      </w:pPr>
      <w:r w:rsidRPr="009E3994">
        <w:rPr>
          <w:rFonts w:ascii="Cambria" w:eastAsia="Times New Roman" w:hAnsi="Cambria" w:cs="Times New Roman"/>
          <w:sz w:val="20"/>
          <w:szCs w:val="20"/>
        </w:rPr>
        <w:t xml:space="preserve"> </w:t>
      </w:r>
    </w:p>
    <w:p w14:paraId="499CD1AD" w14:textId="38F86472" w:rsidR="009E3994" w:rsidRPr="009E3994" w:rsidRDefault="009E3994" w:rsidP="009E3994">
      <w:pPr>
        <w:numPr>
          <w:ilvl w:val="0"/>
          <w:numId w:val="1"/>
        </w:numPr>
        <w:spacing w:after="0" w:line="240" w:lineRule="auto"/>
        <w:contextualSpacing/>
        <w:rPr>
          <w:rFonts w:ascii="Cambria" w:eastAsia="Times New Roman" w:hAnsi="Cambria" w:cs="Times New Roman"/>
          <w:bCs/>
          <w:sz w:val="20"/>
          <w:szCs w:val="20"/>
        </w:rPr>
      </w:pPr>
      <w:r w:rsidRPr="009E3994">
        <w:rPr>
          <w:rFonts w:ascii="Cambria" w:eastAsia="Times New Roman" w:hAnsi="Cambria" w:cs="Times New Roman"/>
          <w:bCs/>
          <w:sz w:val="20"/>
          <w:szCs w:val="20"/>
        </w:rPr>
        <w:t xml:space="preserve"> </w:t>
      </w:r>
      <w:r w:rsidR="00CE06F8">
        <w:rPr>
          <w:rFonts w:ascii="Cambria" w:eastAsia="Times New Roman" w:hAnsi="Cambria" w:cs="Times New Roman"/>
          <w:bCs/>
          <w:sz w:val="20"/>
          <w:szCs w:val="20"/>
        </w:rPr>
        <w:t>Established</w:t>
      </w:r>
      <w:r w:rsidRPr="009E3994">
        <w:rPr>
          <w:rFonts w:ascii="Cambria" w:eastAsia="Times New Roman" w:hAnsi="Cambria" w:cs="Times New Roman"/>
          <w:bCs/>
          <w:sz w:val="20"/>
          <w:szCs w:val="20"/>
        </w:rPr>
        <w:t xml:space="preserve"> and directed the CTPAT Trade Compliance Program</w:t>
      </w:r>
      <w:r w:rsidRPr="009E3994">
        <w:rPr>
          <w:rFonts w:ascii="Cambria" w:eastAsia="Times New Roman" w:hAnsi="Cambria" w:cs="Times New Roman"/>
          <w:b/>
          <w:sz w:val="20"/>
          <w:szCs w:val="20"/>
        </w:rPr>
        <w:t xml:space="preserve"> </w:t>
      </w:r>
      <w:r w:rsidRPr="009E3994">
        <w:rPr>
          <w:rFonts w:ascii="Cambria" w:eastAsia="Times New Roman" w:hAnsi="Cambria" w:cs="Times New Roman"/>
          <w:bCs/>
          <w:sz w:val="20"/>
          <w:szCs w:val="20"/>
        </w:rPr>
        <w:t xml:space="preserve">for </w:t>
      </w:r>
      <w:r w:rsidR="000450C9" w:rsidRPr="009E3994">
        <w:rPr>
          <w:rFonts w:ascii="Cambria" w:eastAsia="Times New Roman" w:hAnsi="Cambria" w:cs="Times New Roman"/>
          <w:bCs/>
          <w:sz w:val="20"/>
          <w:szCs w:val="20"/>
        </w:rPr>
        <w:t>Newell</w:t>
      </w:r>
      <w:r w:rsidR="000450C9">
        <w:rPr>
          <w:rFonts w:ascii="Cambria" w:eastAsia="Times New Roman" w:hAnsi="Cambria" w:cs="Times New Roman"/>
          <w:bCs/>
          <w:sz w:val="20"/>
          <w:szCs w:val="20"/>
        </w:rPr>
        <w:t xml:space="preserve">’s </w:t>
      </w:r>
      <w:r w:rsidR="000450C9" w:rsidRPr="009E3994">
        <w:rPr>
          <w:rFonts w:ascii="Cambria" w:eastAsia="Times New Roman" w:hAnsi="Cambria" w:cs="Times New Roman"/>
          <w:bCs/>
          <w:sz w:val="20"/>
          <w:szCs w:val="20"/>
        </w:rPr>
        <w:t>Home</w:t>
      </w:r>
      <w:r w:rsidRPr="009E3994">
        <w:rPr>
          <w:rFonts w:ascii="Cambria" w:eastAsia="Times New Roman" w:hAnsi="Cambria" w:cs="Times New Roman"/>
          <w:bCs/>
          <w:sz w:val="20"/>
          <w:szCs w:val="20"/>
        </w:rPr>
        <w:t xml:space="preserve"> Appliance Business Unit and laid the groundwork for attaining Tier-3 status through the implementation of a best-in-class Security Supply Chain Program </w:t>
      </w:r>
    </w:p>
    <w:p w14:paraId="2024AB39" w14:textId="77777777" w:rsidR="009E3994" w:rsidRPr="009E3994" w:rsidRDefault="009E3994" w:rsidP="009E3994">
      <w:pPr>
        <w:numPr>
          <w:ilvl w:val="0"/>
          <w:numId w:val="1"/>
        </w:numPr>
        <w:tabs>
          <w:tab w:val="left" w:pos="540"/>
        </w:tabs>
        <w:spacing w:after="0" w:line="276" w:lineRule="auto"/>
        <w:jc w:val="both"/>
        <w:rPr>
          <w:rFonts w:ascii="Cambria" w:eastAsia="Times New Roman" w:hAnsi="Cambria" w:cs="Times New Roman"/>
          <w:b/>
          <w:sz w:val="20"/>
          <w:szCs w:val="20"/>
        </w:rPr>
      </w:pPr>
      <w:r w:rsidRPr="009E3994">
        <w:rPr>
          <w:rFonts w:ascii="Cambria" w:eastAsia="Times New Roman" w:hAnsi="Cambria" w:cs="Times New Roman"/>
          <w:bCs/>
          <w:sz w:val="20"/>
          <w:szCs w:val="20"/>
        </w:rPr>
        <w:t xml:space="preserve">Led the implementation of FTZ operations within two Sunbeam distribution centers </w:t>
      </w:r>
    </w:p>
    <w:p w14:paraId="39C972B0" w14:textId="77777777" w:rsidR="009E3994" w:rsidRPr="009E3994" w:rsidRDefault="009E3994" w:rsidP="009E3994">
      <w:pPr>
        <w:numPr>
          <w:ilvl w:val="0"/>
          <w:numId w:val="1"/>
        </w:numPr>
        <w:tabs>
          <w:tab w:val="left" w:pos="540"/>
        </w:tabs>
        <w:spacing w:after="0" w:line="276" w:lineRule="auto"/>
        <w:jc w:val="both"/>
        <w:rPr>
          <w:rFonts w:ascii="Cambria" w:eastAsia="Times New Roman" w:hAnsi="Cambria" w:cs="Times New Roman"/>
          <w:b/>
          <w:sz w:val="20"/>
          <w:szCs w:val="20"/>
        </w:rPr>
      </w:pPr>
      <w:r w:rsidRPr="009E3994">
        <w:rPr>
          <w:rFonts w:ascii="Cambria" w:eastAsia="Times New Roman" w:hAnsi="Cambria" w:cs="Times New Roman"/>
          <w:bCs/>
          <w:sz w:val="20"/>
          <w:szCs w:val="20"/>
        </w:rPr>
        <w:t>Implemented and managed Customs entries self-filing process,</w:t>
      </w:r>
      <w:r w:rsidRPr="009E3994">
        <w:rPr>
          <w:rFonts w:ascii="Cambria" w:eastAsia="Times New Roman" w:hAnsi="Cambria" w:cs="Times New Roman"/>
          <w:b/>
          <w:sz w:val="20"/>
          <w:szCs w:val="20"/>
        </w:rPr>
        <w:t xml:space="preserve"> </w:t>
      </w:r>
      <w:r w:rsidRPr="009E3994">
        <w:rPr>
          <w:rFonts w:ascii="Cambria" w:eastAsia="Times New Roman" w:hAnsi="Cambria" w:cs="Times New Roman"/>
          <w:bCs/>
          <w:sz w:val="20"/>
          <w:szCs w:val="20"/>
        </w:rPr>
        <w:t>which saved over $300K in operational costs per year</w:t>
      </w:r>
    </w:p>
    <w:p w14:paraId="0041A0A2" w14:textId="77777777" w:rsidR="009E3994" w:rsidRPr="009E3994" w:rsidRDefault="009E3994" w:rsidP="009E3994">
      <w:pPr>
        <w:numPr>
          <w:ilvl w:val="0"/>
          <w:numId w:val="1"/>
        </w:numPr>
        <w:tabs>
          <w:tab w:val="left" w:pos="540"/>
        </w:tabs>
        <w:spacing w:after="0" w:line="276" w:lineRule="auto"/>
        <w:ind w:right="-219"/>
        <w:jc w:val="both"/>
        <w:rPr>
          <w:rFonts w:ascii="Cambria" w:eastAsia="Times New Roman" w:hAnsi="Cambria" w:cs="Times New Roman"/>
          <w:bCs/>
          <w:sz w:val="20"/>
          <w:szCs w:val="20"/>
        </w:rPr>
      </w:pPr>
      <w:r w:rsidRPr="009E3994">
        <w:rPr>
          <w:rFonts w:ascii="Cambria" w:eastAsia="Times New Roman" w:hAnsi="Cambria" w:cs="Times New Roman"/>
          <w:bCs/>
          <w:sz w:val="20"/>
          <w:szCs w:val="20"/>
        </w:rPr>
        <w:t>Collaborated extensively with stakeholders at a Mexican facility to amplify the effectiveness of the AEO (Authorized Economic Operator) program</w:t>
      </w:r>
    </w:p>
    <w:p w14:paraId="70BC2065" w14:textId="77777777" w:rsidR="009E3994" w:rsidRPr="009E3994" w:rsidRDefault="009E3994" w:rsidP="009E3994">
      <w:pPr>
        <w:numPr>
          <w:ilvl w:val="0"/>
          <w:numId w:val="1"/>
        </w:numPr>
        <w:tabs>
          <w:tab w:val="left" w:pos="540"/>
        </w:tabs>
        <w:spacing w:after="0" w:line="276" w:lineRule="auto"/>
        <w:ind w:right="-219"/>
        <w:jc w:val="both"/>
        <w:rPr>
          <w:rFonts w:ascii="Cambria" w:eastAsia="Times New Roman" w:hAnsi="Cambria" w:cs="Times New Roman"/>
          <w:bCs/>
          <w:sz w:val="20"/>
          <w:szCs w:val="20"/>
        </w:rPr>
      </w:pPr>
      <w:r w:rsidRPr="009E3994">
        <w:rPr>
          <w:rFonts w:ascii="Cambria" w:eastAsia="Times New Roman" w:hAnsi="Cambria" w:cs="Times New Roman"/>
          <w:bCs/>
          <w:sz w:val="20"/>
          <w:szCs w:val="20"/>
        </w:rPr>
        <w:t xml:space="preserve">Drove over $3.5M in cost reductions under the Miscellaneous Trade Bill and other provisions, successfully recovering over $1M in refunds through the roll-out of strategic drawback and protest projects </w:t>
      </w:r>
    </w:p>
    <w:p w14:paraId="65E8CC6E" w14:textId="65832127" w:rsidR="009E3994" w:rsidRPr="000450C9" w:rsidRDefault="009E3994" w:rsidP="009E3994">
      <w:pPr>
        <w:numPr>
          <w:ilvl w:val="0"/>
          <w:numId w:val="1"/>
        </w:numPr>
        <w:tabs>
          <w:tab w:val="left" w:pos="540"/>
        </w:tabs>
        <w:spacing w:after="120" w:line="276" w:lineRule="auto"/>
        <w:ind w:right="-219"/>
        <w:jc w:val="both"/>
        <w:rPr>
          <w:rFonts w:ascii="Cambria" w:eastAsia="Times New Roman" w:hAnsi="Cambria" w:cs="Times New Roman"/>
          <w:bCs/>
          <w:sz w:val="20"/>
          <w:szCs w:val="20"/>
        </w:rPr>
      </w:pPr>
      <w:r w:rsidRPr="009E3994">
        <w:rPr>
          <w:rFonts w:ascii="Cambria" w:eastAsia="Times New Roman" w:hAnsi="Cambria" w:cs="Times New Roman"/>
          <w:bCs/>
          <w:sz w:val="20"/>
          <w:szCs w:val="20"/>
        </w:rPr>
        <w:t xml:space="preserve">Automated the JD Edwards enterprise system with customs classifications for all finished products </w:t>
      </w:r>
      <w:r w:rsidR="000450C9" w:rsidRPr="000450C9">
        <w:rPr>
          <w:rFonts w:ascii="Cambria" w:eastAsia="Times New Roman" w:hAnsi="Cambria" w:cs="Times New Roman"/>
          <w:bCs/>
          <w:sz w:val="20"/>
          <w:szCs w:val="20"/>
        </w:rPr>
        <w:t>C</w:t>
      </w:r>
      <w:r w:rsidRPr="009E3994">
        <w:rPr>
          <w:rFonts w:ascii="Cambria" w:eastAsia="Times New Roman" w:hAnsi="Cambria" w:cs="Times New Roman"/>
          <w:bCs/>
          <w:sz w:val="20"/>
          <w:szCs w:val="20"/>
        </w:rPr>
        <w:t>ollaborat</w:t>
      </w:r>
      <w:r w:rsidR="000450C9" w:rsidRPr="000450C9">
        <w:rPr>
          <w:rFonts w:ascii="Cambria" w:eastAsia="Times New Roman" w:hAnsi="Cambria" w:cs="Times New Roman"/>
          <w:bCs/>
          <w:sz w:val="20"/>
          <w:szCs w:val="20"/>
        </w:rPr>
        <w:t xml:space="preserve">ed </w:t>
      </w:r>
      <w:r w:rsidRPr="009E3994">
        <w:rPr>
          <w:rFonts w:ascii="Cambria" w:eastAsia="Times New Roman" w:hAnsi="Cambria" w:cs="Times New Roman"/>
          <w:bCs/>
          <w:sz w:val="20"/>
          <w:szCs w:val="20"/>
        </w:rPr>
        <w:t>with the international division for the resolution of customs matters for Col</w:t>
      </w:r>
      <w:r w:rsidR="000450C9" w:rsidRPr="000450C9">
        <w:rPr>
          <w:rFonts w:ascii="Cambria" w:eastAsia="Times New Roman" w:hAnsi="Cambria" w:cs="Times New Roman"/>
          <w:bCs/>
          <w:sz w:val="20"/>
          <w:szCs w:val="20"/>
        </w:rPr>
        <w:t>o</w:t>
      </w:r>
      <w:r w:rsidRPr="009E3994">
        <w:rPr>
          <w:rFonts w:ascii="Cambria" w:eastAsia="Times New Roman" w:hAnsi="Cambria" w:cs="Times New Roman"/>
          <w:bCs/>
          <w:sz w:val="20"/>
          <w:szCs w:val="20"/>
        </w:rPr>
        <w:t>mbia, Brazil, Mexico, and Peru</w:t>
      </w:r>
    </w:p>
    <w:p w14:paraId="6A5A858A" w14:textId="2DC1F8D1" w:rsidR="00C235A5" w:rsidRDefault="00C235A5" w:rsidP="00C235A5">
      <w:pPr>
        <w:tabs>
          <w:tab w:val="left" w:pos="540"/>
        </w:tabs>
        <w:spacing w:after="120" w:line="276" w:lineRule="auto"/>
        <w:ind w:right="-219"/>
        <w:jc w:val="both"/>
        <w:rPr>
          <w:rFonts w:ascii="Cambria" w:eastAsia="Times New Roman" w:hAnsi="Cambria" w:cs="Times New Roman"/>
          <w:bCs/>
          <w:sz w:val="20"/>
          <w:szCs w:val="20"/>
        </w:rPr>
      </w:pPr>
    </w:p>
    <w:p w14:paraId="0573432B" w14:textId="77777777" w:rsidR="00C235A5" w:rsidRPr="009E3994" w:rsidRDefault="00C235A5" w:rsidP="00C235A5">
      <w:pPr>
        <w:tabs>
          <w:tab w:val="left" w:pos="540"/>
        </w:tabs>
        <w:spacing w:after="120" w:line="276" w:lineRule="auto"/>
        <w:ind w:right="-219"/>
        <w:jc w:val="both"/>
        <w:rPr>
          <w:rFonts w:ascii="Cambria" w:eastAsia="Times New Roman" w:hAnsi="Cambria" w:cs="Times New Roman"/>
          <w:bCs/>
          <w:sz w:val="20"/>
          <w:szCs w:val="20"/>
        </w:rPr>
      </w:pPr>
    </w:p>
    <w:p w14:paraId="2EF786C8" w14:textId="77777777" w:rsidR="009E3994" w:rsidRPr="009E3994" w:rsidRDefault="009E3994" w:rsidP="009E3994">
      <w:pPr>
        <w:tabs>
          <w:tab w:val="left" w:pos="540"/>
        </w:tabs>
        <w:spacing w:after="120" w:line="276" w:lineRule="auto"/>
        <w:ind w:right="-219"/>
        <w:jc w:val="both"/>
        <w:rPr>
          <w:rFonts w:ascii="Cambria" w:eastAsia="Times New Roman" w:hAnsi="Cambria" w:cs="Times New Roman"/>
          <w:bCs/>
          <w:sz w:val="20"/>
          <w:szCs w:val="20"/>
        </w:rPr>
      </w:pPr>
    </w:p>
    <w:p w14:paraId="68FA72EE" w14:textId="0DBC4AF3" w:rsidR="009E3994" w:rsidRPr="009E3994" w:rsidRDefault="009E3994" w:rsidP="009E3994">
      <w:pPr>
        <w:tabs>
          <w:tab w:val="right" w:pos="10800"/>
        </w:tabs>
        <w:spacing w:before="60" w:after="0" w:line="276" w:lineRule="auto"/>
        <w:jc w:val="both"/>
        <w:rPr>
          <w:rFonts w:ascii="Cambria" w:eastAsia="Times New Roman" w:hAnsi="Cambria" w:cs="Times New Roman"/>
          <w:b/>
          <w:color w:val="2F5496" w:themeColor="accent1" w:themeShade="BF"/>
          <w:sz w:val="21"/>
          <w:szCs w:val="21"/>
        </w:rPr>
      </w:pPr>
      <w:r w:rsidRPr="009E3994">
        <w:rPr>
          <w:rFonts w:ascii="Cambria" w:eastAsia="Times New Roman" w:hAnsi="Cambria" w:cs="Times New Roman"/>
          <w:b/>
          <w:color w:val="2F5496" w:themeColor="accent1" w:themeShade="BF"/>
          <w:sz w:val="21"/>
          <w:szCs w:val="21"/>
        </w:rPr>
        <w:lastRenderedPageBreak/>
        <w:t>Manager, International Trade and Customs (2000-2006)</w:t>
      </w:r>
    </w:p>
    <w:p w14:paraId="6B181137" w14:textId="561ED9D9" w:rsidR="009E3994" w:rsidRPr="009E3994" w:rsidRDefault="009E3994" w:rsidP="009E3994">
      <w:pPr>
        <w:numPr>
          <w:ilvl w:val="0"/>
          <w:numId w:val="2"/>
        </w:numPr>
        <w:spacing w:after="0" w:line="240" w:lineRule="auto"/>
        <w:ind w:left="360"/>
        <w:contextualSpacing/>
        <w:rPr>
          <w:rFonts w:ascii="Cambria" w:eastAsia="Times New Roman" w:hAnsi="Cambria" w:cs="Times New Roman"/>
          <w:sz w:val="20"/>
          <w:szCs w:val="20"/>
        </w:rPr>
      </w:pPr>
      <w:r w:rsidRPr="009E3994">
        <w:rPr>
          <w:rFonts w:ascii="Cambria" w:eastAsia="Times New Roman" w:hAnsi="Cambria" w:cs="Times New Roman"/>
          <w:b/>
          <w:color w:val="2F5496" w:themeColor="accent1" w:themeShade="BF"/>
          <w:sz w:val="21"/>
          <w:szCs w:val="21"/>
        </w:rPr>
        <w:t xml:space="preserve"> </w:t>
      </w:r>
      <w:r w:rsidRPr="009E3994">
        <w:rPr>
          <w:rFonts w:ascii="Cambria" w:eastAsia="Times New Roman" w:hAnsi="Cambria" w:cs="Times New Roman"/>
          <w:sz w:val="20"/>
          <w:szCs w:val="20"/>
        </w:rPr>
        <w:t>Negotiated a reduction in external customs broker</w:t>
      </w:r>
      <w:r w:rsidR="000450C9">
        <w:rPr>
          <w:rFonts w:ascii="Cambria" w:eastAsia="Times New Roman" w:hAnsi="Cambria" w:cs="Times New Roman"/>
          <w:sz w:val="20"/>
          <w:szCs w:val="20"/>
        </w:rPr>
        <w:t>’</w:t>
      </w:r>
      <w:r w:rsidRPr="009E3994">
        <w:rPr>
          <w:rFonts w:ascii="Cambria" w:eastAsia="Times New Roman" w:hAnsi="Cambria" w:cs="Times New Roman"/>
          <w:sz w:val="20"/>
          <w:szCs w:val="20"/>
        </w:rPr>
        <w:t>s fees, resulting in savings of $125K</w:t>
      </w:r>
    </w:p>
    <w:p w14:paraId="15595562" w14:textId="77777777" w:rsidR="009E3994" w:rsidRPr="009E3994" w:rsidRDefault="009E3994" w:rsidP="009E3994">
      <w:pPr>
        <w:numPr>
          <w:ilvl w:val="0"/>
          <w:numId w:val="2"/>
        </w:numPr>
        <w:spacing w:after="0" w:line="240" w:lineRule="auto"/>
        <w:ind w:left="360"/>
        <w:contextualSpacing/>
        <w:rPr>
          <w:rFonts w:ascii="Cambria" w:eastAsia="Times New Roman" w:hAnsi="Cambria" w:cs="Times New Roman"/>
          <w:sz w:val="20"/>
          <w:szCs w:val="20"/>
        </w:rPr>
      </w:pPr>
      <w:r w:rsidRPr="009E3994">
        <w:rPr>
          <w:rFonts w:ascii="Cambria" w:eastAsia="Times New Roman" w:hAnsi="Cambria" w:cs="Times New Roman"/>
          <w:sz w:val="20"/>
          <w:szCs w:val="20"/>
        </w:rPr>
        <w:t>Applied for the CTPAT (Supply Chain Security) certification for Sunbeam Products and developed a robust ISA (Importer Self-Assessment) program</w:t>
      </w:r>
    </w:p>
    <w:p w14:paraId="1F2D4162" w14:textId="495D518C" w:rsidR="009E3994" w:rsidRPr="009E3994" w:rsidRDefault="009E3994" w:rsidP="009E3994">
      <w:pPr>
        <w:numPr>
          <w:ilvl w:val="0"/>
          <w:numId w:val="2"/>
        </w:numPr>
        <w:spacing w:after="0" w:line="240" w:lineRule="auto"/>
        <w:ind w:left="360"/>
        <w:contextualSpacing/>
        <w:rPr>
          <w:rFonts w:ascii="Cambria" w:eastAsia="Times New Roman" w:hAnsi="Cambria" w:cs="Times New Roman"/>
          <w:sz w:val="20"/>
          <w:szCs w:val="20"/>
        </w:rPr>
      </w:pPr>
      <w:r w:rsidRPr="009E3994">
        <w:rPr>
          <w:rFonts w:ascii="Cambria" w:eastAsia="Times New Roman" w:hAnsi="Cambria" w:cs="Times New Roman"/>
          <w:sz w:val="20"/>
          <w:szCs w:val="20"/>
        </w:rPr>
        <w:t xml:space="preserve">Established a U.S. Customs in-house brokerage on a border operation, and developed procedures for the compliance of all U.S. and Mexican Customs regulations </w:t>
      </w:r>
      <w:r>
        <w:rPr>
          <w:rFonts w:ascii="Cambria" w:eastAsia="Times New Roman" w:hAnsi="Cambria" w:cs="Times New Roman"/>
          <w:sz w:val="20"/>
          <w:szCs w:val="20"/>
        </w:rPr>
        <w:t>maquila</w:t>
      </w:r>
      <w:r w:rsidRPr="009E3994">
        <w:rPr>
          <w:rFonts w:ascii="Cambria" w:eastAsia="Times New Roman" w:hAnsi="Cambria" w:cs="Times New Roman"/>
          <w:sz w:val="20"/>
          <w:szCs w:val="20"/>
        </w:rPr>
        <w:t xml:space="preserve"> plants</w:t>
      </w:r>
    </w:p>
    <w:p w14:paraId="26320998" w14:textId="77777777" w:rsidR="009E3994" w:rsidRPr="009E3994" w:rsidRDefault="009E3994" w:rsidP="009E3994">
      <w:pPr>
        <w:numPr>
          <w:ilvl w:val="0"/>
          <w:numId w:val="2"/>
        </w:numPr>
        <w:spacing w:after="0" w:line="240" w:lineRule="auto"/>
        <w:ind w:left="360"/>
        <w:contextualSpacing/>
        <w:rPr>
          <w:rFonts w:ascii="Cambria" w:eastAsia="Times New Roman" w:hAnsi="Cambria" w:cs="Times New Roman"/>
          <w:sz w:val="20"/>
          <w:szCs w:val="20"/>
        </w:rPr>
      </w:pPr>
      <w:r w:rsidRPr="009E3994">
        <w:rPr>
          <w:rFonts w:ascii="Cambria" w:eastAsia="Times New Roman" w:hAnsi="Cambria" w:cs="Times New Roman"/>
          <w:sz w:val="20"/>
          <w:szCs w:val="20"/>
        </w:rPr>
        <w:t>Established a bonded warehouse operation resulting in savings of 300K per year</w:t>
      </w:r>
    </w:p>
    <w:p w14:paraId="68A6E083" w14:textId="707B8C71" w:rsidR="009E3994" w:rsidRPr="009E3994" w:rsidRDefault="009E3994" w:rsidP="009E3994">
      <w:pPr>
        <w:numPr>
          <w:ilvl w:val="0"/>
          <w:numId w:val="2"/>
        </w:numPr>
        <w:spacing w:after="0" w:line="240" w:lineRule="auto"/>
        <w:ind w:left="360"/>
        <w:contextualSpacing/>
        <w:rPr>
          <w:rFonts w:ascii="Cambria" w:eastAsia="Times New Roman" w:hAnsi="Cambria" w:cs="Times New Roman"/>
          <w:sz w:val="20"/>
          <w:szCs w:val="20"/>
        </w:rPr>
      </w:pPr>
      <w:r w:rsidRPr="009E3994">
        <w:rPr>
          <w:rFonts w:ascii="Cambria" w:eastAsia="Times New Roman" w:hAnsi="Cambria" w:cs="Times New Roman"/>
          <w:sz w:val="20"/>
          <w:szCs w:val="20"/>
        </w:rPr>
        <w:t xml:space="preserve">Recovered over $1M by identified opportunities </w:t>
      </w:r>
      <w:r w:rsidR="00C235A5">
        <w:rPr>
          <w:rFonts w:ascii="Cambria" w:eastAsia="Times New Roman" w:hAnsi="Cambria" w:cs="Times New Roman"/>
          <w:sz w:val="20"/>
          <w:szCs w:val="20"/>
        </w:rPr>
        <w:t xml:space="preserve">for duty </w:t>
      </w:r>
      <w:r w:rsidRPr="009E3994">
        <w:rPr>
          <w:rFonts w:ascii="Cambria" w:eastAsia="Times New Roman" w:hAnsi="Cambria" w:cs="Times New Roman"/>
          <w:sz w:val="20"/>
          <w:szCs w:val="20"/>
        </w:rPr>
        <w:t>drawback</w:t>
      </w:r>
    </w:p>
    <w:p w14:paraId="64FFE8B0" w14:textId="77777777" w:rsidR="009E3994" w:rsidRPr="009E3994" w:rsidRDefault="009E3994" w:rsidP="009E3994">
      <w:pPr>
        <w:numPr>
          <w:ilvl w:val="0"/>
          <w:numId w:val="2"/>
        </w:numPr>
        <w:spacing w:after="0" w:line="240" w:lineRule="auto"/>
        <w:ind w:left="360"/>
        <w:contextualSpacing/>
        <w:rPr>
          <w:rFonts w:ascii="Cambria" w:eastAsia="Times New Roman" w:hAnsi="Cambria" w:cs="Times New Roman"/>
          <w:sz w:val="20"/>
          <w:szCs w:val="20"/>
        </w:rPr>
      </w:pPr>
      <w:r w:rsidRPr="009E3994">
        <w:rPr>
          <w:rFonts w:ascii="Cambria" w:eastAsia="Times New Roman" w:hAnsi="Cambria" w:cs="Times New Roman"/>
          <w:sz w:val="20"/>
          <w:szCs w:val="20"/>
        </w:rPr>
        <w:t>Obtained refunds of over 100K under NAFTA and worked with the Mexican government on the reduction on duties on non-NAFTA components.</w:t>
      </w:r>
    </w:p>
    <w:p w14:paraId="488EA5BE" w14:textId="77777777" w:rsidR="009E3994" w:rsidRPr="009E3994" w:rsidRDefault="009E3994" w:rsidP="009E3994">
      <w:pPr>
        <w:tabs>
          <w:tab w:val="right" w:pos="10800"/>
        </w:tabs>
        <w:spacing w:before="60" w:after="0" w:line="276" w:lineRule="auto"/>
        <w:jc w:val="both"/>
        <w:rPr>
          <w:rFonts w:ascii="Cambria" w:eastAsia="Times New Roman" w:hAnsi="Cambria" w:cs="Times New Roman"/>
          <w:b/>
          <w:color w:val="2F5496" w:themeColor="accent1" w:themeShade="BF"/>
          <w:sz w:val="20"/>
          <w:szCs w:val="20"/>
        </w:rPr>
      </w:pPr>
    </w:p>
    <w:bookmarkEnd w:id="2"/>
    <w:p w14:paraId="0D1FC2FC" w14:textId="77777777" w:rsidR="009E3994" w:rsidRPr="009E3994" w:rsidRDefault="009E3994" w:rsidP="009E3994">
      <w:pPr>
        <w:pBdr>
          <w:top w:val="single" w:sz="4" w:space="1" w:color="1F3864" w:themeColor="accent1" w:themeShade="80"/>
          <w:bottom w:val="single" w:sz="12" w:space="1" w:color="1F3864" w:themeColor="accent1" w:themeShade="80"/>
        </w:pBdr>
        <w:shd w:val="clear" w:color="auto" w:fill="F2F2F2" w:themeFill="background1" w:themeFillShade="F2"/>
        <w:tabs>
          <w:tab w:val="left" w:pos="1683"/>
          <w:tab w:val="center" w:pos="5652"/>
        </w:tabs>
        <w:spacing w:before="120" w:after="0" w:line="276" w:lineRule="auto"/>
        <w:ind w:hanging="2"/>
        <w:jc w:val="center"/>
        <w:rPr>
          <w:rFonts w:ascii="Cambria" w:eastAsia="Times New Roman" w:hAnsi="Cambria" w:cs="Times New Roman"/>
          <w:b/>
          <w:smallCaps/>
          <w:color w:val="1F3864" w:themeColor="accent1" w:themeShade="80"/>
          <w:sz w:val="24"/>
          <w:szCs w:val="24"/>
        </w:rPr>
      </w:pPr>
      <w:r w:rsidRPr="009E3994">
        <w:rPr>
          <w:rFonts w:ascii="Cambria" w:eastAsia="Times New Roman" w:hAnsi="Cambria" w:cs="Times New Roman"/>
          <w:b/>
          <w:smallCaps/>
          <w:color w:val="1F3864" w:themeColor="accent1" w:themeShade="80"/>
          <w:sz w:val="24"/>
          <w:szCs w:val="24"/>
        </w:rPr>
        <w:t xml:space="preserve">Education </w:t>
      </w:r>
    </w:p>
    <w:p w14:paraId="1687F6F2" w14:textId="77777777" w:rsidR="009E3994" w:rsidRPr="009E3994" w:rsidRDefault="009E3994" w:rsidP="009E3994">
      <w:pPr>
        <w:widowControl w:val="0"/>
        <w:numPr>
          <w:ilvl w:val="0"/>
          <w:numId w:val="1"/>
        </w:numPr>
        <w:spacing w:before="40" w:after="0" w:line="276" w:lineRule="auto"/>
        <w:contextualSpacing/>
        <w:jc w:val="center"/>
        <w:rPr>
          <w:rFonts w:ascii="Cambria" w:eastAsia="Times New Roman" w:hAnsi="Cambria" w:cs="Times New Roman"/>
          <w:b/>
          <w:snapToGrid w:val="0"/>
          <w:sz w:val="4"/>
          <w:szCs w:val="4"/>
        </w:rPr>
      </w:pPr>
    </w:p>
    <w:p w14:paraId="6235B08D" w14:textId="77777777" w:rsidR="00C235A5" w:rsidRPr="001702B9" w:rsidRDefault="00C235A5" w:rsidP="00C235A5">
      <w:pPr>
        <w:tabs>
          <w:tab w:val="left" w:pos="540"/>
        </w:tabs>
        <w:spacing w:after="0" w:line="276" w:lineRule="auto"/>
        <w:ind w:left="144"/>
        <w:jc w:val="center"/>
        <w:rPr>
          <w:rFonts w:ascii="Cambria" w:eastAsia="Times New Roman" w:hAnsi="Cambria" w:cs="Times New Roman"/>
          <w:sz w:val="20"/>
          <w:szCs w:val="20"/>
        </w:rPr>
      </w:pPr>
      <w:r w:rsidRPr="001702B9">
        <w:rPr>
          <w:rFonts w:ascii="Cambria" w:eastAsia="Times New Roman" w:hAnsi="Cambria" w:cs="Times New Roman"/>
          <w:sz w:val="20"/>
          <w:szCs w:val="20"/>
        </w:rPr>
        <w:t>Master of Science in Logistics and Supply Management</w:t>
      </w:r>
    </w:p>
    <w:p w14:paraId="40C2F6D3" w14:textId="77777777" w:rsidR="00C235A5" w:rsidRPr="001702B9" w:rsidRDefault="00C235A5" w:rsidP="00C235A5">
      <w:pPr>
        <w:tabs>
          <w:tab w:val="left" w:pos="540"/>
        </w:tabs>
        <w:spacing w:after="0" w:line="276" w:lineRule="auto"/>
        <w:ind w:left="144"/>
        <w:jc w:val="center"/>
        <w:rPr>
          <w:rFonts w:ascii="Cambria" w:eastAsia="Times New Roman" w:hAnsi="Cambria" w:cs="Times New Roman"/>
          <w:sz w:val="20"/>
          <w:szCs w:val="20"/>
        </w:rPr>
      </w:pPr>
      <w:r w:rsidRPr="001702B9">
        <w:rPr>
          <w:rFonts w:ascii="Cambria" w:eastAsia="Times New Roman" w:hAnsi="Cambria" w:cs="Times New Roman"/>
          <w:sz w:val="20"/>
          <w:szCs w:val="20"/>
        </w:rPr>
        <w:tab/>
        <w:t>Florida International University, June 2021</w:t>
      </w:r>
    </w:p>
    <w:p w14:paraId="1283E22F" w14:textId="77777777" w:rsidR="00C235A5" w:rsidRPr="001702B9" w:rsidRDefault="00C235A5" w:rsidP="00C235A5">
      <w:pPr>
        <w:tabs>
          <w:tab w:val="left" w:pos="540"/>
        </w:tabs>
        <w:spacing w:after="0" w:line="276" w:lineRule="auto"/>
        <w:ind w:left="144"/>
        <w:jc w:val="center"/>
        <w:rPr>
          <w:rFonts w:ascii="Cambria" w:eastAsia="Times New Roman" w:hAnsi="Cambria" w:cs="Times New Roman"/>
          <w:sz w:val="20"/>
          <w:szCs w:val="20"/>
        </w:rPr>
      </w:pPr>
    </w:p>
    <w:p w14:paraId="6888DD45" w14:textId="77777777" w:rsidR="00C235A5" w:rsidRPr="001702B9" w:rsidRDefault="00C235A5" w:rsidP="00C235A5">
      <w:pPr>
        <w:tabs>
          <w:tab w:val="left" w:pos="540"/>
        </w:tabs>
        <w:spacing w:after="0" w:line="276" w:lineRule="auto"/>
        <w:ind w:left="144"/>
        <w:jc w:val="center"/>
        <w:rPr>
          <w:rFonts w:ascii="Cambria" w:eastAsia="Times New Roman" w:hAnsi="Cambria" w:cs="Times New Roman"/>
          <w:sz w:val="20"/>
          <w:szCs w:val="20"/>
        </w:rPr>
      </w:pPr>
      <w:r w:rsidRPr="001702B9">
        <w:rPr>
          <w:rFonts w:ascii="Cambria" w:eastAsia="Times New Roman" w:hAnsi="Cambria" w:cs="Times New Roman"/>
          <w:sz w:val="20"/>
          <w:szCs w:val="20"/>
        </w:rPr>
        <w:tab/>
        <w:t>Master of Accountancy with an emphasis in International Business</w:t>
      </w:r>
    </w:p>
    <w:p w14:paraId="79195AA2" w14:textId="659D82BF" w:rsidR="009E3994" w:rsidRPr="009E3994" w:rsidRDefault="00C235A5" w:rsidP="00C235A5">
      <w:pPr>
        <w:tabs>
          <w:tab w:val="left" w:pos="540"/>
        </w:tabs>
        <w:spacing w:after="0" w:line="276" w:lineRule="auto"/>
        <w:ind w:left="144"/>
        <w:jc w:val="center"/>
        <w:rPr>
          <w:rFonts w:ascii="Cambria" w:eastAsia="Times New Roman" w:hAnsi="Cambria" w:cs="Times New Roman"/>
          <w:sz w:val="20"/>
          <w:szCs w:val="20"/>
        </w:rPr>
      </w:pPr>
      <w:r w:rsidRPr="001702B9">
        <w:rPr>
          <w:rFonts w:ascii="Cambria" w:eastAsia="Times New Roman" w:hAnsi="Cambria" w:cs="Times New Roman"/>
          <w:sz w:val="20"/>
          <w:szCs w:val="20"/>
        </w:rPr>
        <w:tab/>
        <w:t>Florida Atlantic University, December 2010</w:t>
      </w:r>
      <w:r w:rsidR="009E3994" w:rsidRPr="009E3994">
        <w:rPr>
          <w:rFonts w:ascii="Cambria" w:eastAsia="Times New Roman" w:hAnsi="Cambria" w:cs="Times New Roman"/>
          <w:sz w:val="20"/>
          <w:szCs w:val="20"/>
        </w:rPr>
        <w:t xml:space="preserve"> </w:t>
      </w:r>
    </w:p>
    <w:p w14:paraId="6FA060BC" w14:textId="60438027" w:rsidR="009E3994" w:rsidRPr="009E3994" w:rsidRDefault="00C235A5" w:rsidP="009E3994">
      <w:pPr>
        <w:tabs>
          <w:tab w:val="left" w:pos="540"/>
        </w:tabs>
        <w:spacing w:after="120" w:line="276" w:lineRule="auto"/>
        <w:ind w:left="144"/>
        <w:jc w:val="center"/>
        <w:rPr>
          <w:rFonts w:ascii="Cambria" w:eastAsia="Times New Roman" w:hAnsi="Cambria" w:cs="Times New Roman"/>
          <w:sz w:val="20"/>
          <w:szCs w:val="20"/>
        </w:rPr>
      </w:pPr>
      <w:r>
        <w:rPr>
          <w:rFonts w:ascii="Cambria" w:eastAsia="Times New Roman" w:hAnsi="Cambria" w:cs="Times New Roman"/>
          <w:sz w:val="20"/>
          <w:szCs w:val="20"/>
        </w:rPr>
        <w:t xml:space="preserve"> </w:t>
      </w:r>
    </w:p>
    <w:p w14:paraId="76ABF4BE" w14:textId="503F461B" w:rsidR="009E3994" w:rsidRPr="009E3994" w:rsidRDefault="009E3994" w:rsidP="009E3994">
      <w:pPr>
        <w:pBdr>
          <w:top w:val="single" w:sz="4" w:space="1" w:color="1F3864" w:themeColor="accent1" w:themeShade="80"/>
          <w:bottom w:val="single" w:sz="12" w:space="1" w:color="1F3864" w:themeColor="accent1" w:themeShade="80"/>
        </w:pBdr>
        <w:shd w:val="clear" w:color="auto" w:fill="F2F2F2" w:themeFill="background1" w:themeFillShade="F2"/>
        <w:tabs>
          <w:tab w:val="left" w:pos="1141"/>
          <w:tab w:val="center" w:pos="5445"/>
        </w:tabs>
        <w:spacing w:after="0" w:line="276" w:lineRule="auto"/>
        <w:rPr>
          <w:rFonts w:ascii="Cambria" w:eastAsia="Times New Roman" w:hAnsi="Cambria" w:cs="Times New Roman"/>
          <w:b/>
          <w:smallCaps/>
          <w:color w:val="1F3864" w:themeColor="accent1" w:themeShade="80"/>
          <w:sz w:val="20"/>
          <w:szCs w:val="20"/>
        </w:rPr>
      </w:pPr>
      <w:r w:rsidRPr="009E3994">
        <w:rPr>
          <w:rFonts w:ascii="Cambria" w:eastAsia="Times New Roman" w:hAnsi="Cambria" w:cs="Times New Roman"/>
          <w:b/>
          <w:smallCaps/>
          <w:color w:val="1F3864" w:themeColor="accent1" w:themeShade="80"/>
          <w:sz w:val="24"/>
          <w:szCs w:val="20"/>
        </w:rPr>
        <w:tab/>
      </w:r>
      <w:r w:rsidRPr="009E3994">
        <w:rPr>
          <w:rFonts w:ascii="Cambria" w:eastAsia="Times New Roman" w:hAnsi="Cambria" w:cs="Times New Roman"/>
          <w:b/>
          <w:smallCaps/>
          <w:color w:val="1F3864" w:themeColor="accent1" w:themeShade="80"/>
          <w:sz w:val="24"/>
          <w:szCs w:val="20"/>
        </w:rPr>
        <w:tab/>
      </w:r>
      <w:r w:rsidRPr="009E3994">
        <w:rPr>
          <w:rFonts w:ascii="Cambria" w:eastAsia="Times New Roman" w:hAnsi="Cambria" w:cs="Times New Roman"/>
          <w:b/>
          <w:smallCaps/>
          <w:color w:val="1F3864" w:themeColor="accent1" w:themeShade="80"/>
          <w:sz w:val="20"/>
          <w:szCs w:val="20"/>
        </w:rPr>
        <w:t>LICEN</w:t>
      </w:r>
      <w:r w:rsidR="00C235A5" w:rsidRPr="00C235A5">
        <w:rPr>
          <w:rFonts w:ascii="Cambria" w:eastAsia="Times New Roman" w:hAnsi="Cambria" w:cs="Times New Roman"/>
          <w:b/>
          <w:smallCaps/>
          <w:color w:val="1F3864" w:themeColor="accent1" w:themeShade="80"/>
          <w:sz w:val="20"/>
          <w:szCs w:val="20"/>
        </w:rPr>
        <w:t xml:space="preserve">SES AND CERTIFICATIONS </w:t>
      </w:r>
    </w:p>
    <w:p w14:paraId="3DD92552" w14:textId="69F16B7E" w:rsidR="009E3994" w:rsidRPr="009E3994" w:rsidRDefault="001702B9" w:rsidP="009E3994">
      <w:pPr>
        <w:widowControl w:val="0"/>
        <w:spacing w:after="0" w:line="276" w:lineRule="auto"/>
        <w:jc w:val="center"/>
        <w:rPr>
          <w:rFonts w:ascii="Cambria" w:eastAsia="Times New Roman" w:hAnsi="Cambria" w:cs="Times New Roman"/>
          <w:b/>
          <w:snapToGrid w:val="0"/>
          <w:sz w:val="21"/>
          <w:szCs w:val="21"/>
        </w:rPr>
      </w:pPr>
      <w:r>
        <w:rPr>
          <w:rFonts w:ascii="Cambria" w:eastAsia="Times New Roman" w:hAnsi="Cambria" w:cs="Times New Roman"/>
          <w:b/>
          <w:snapToGrid w:val="0"/>
          <w:sz w:val="21"/>
          <w:szCs w:val="21"/>
        </w:rPr>
        <w:t xml:space="preserve"> </w:t>
      </w:r>
    </w:p>
    <w:p w14:paraId="5977EBBF" w14:textId="6C85AC94" w:rsidR="001702B9" w:rsidRPr="001702B9" w:rsidRDefault="001702B9" w:rsidP="001702B9">
      <w:pPr>
        <w:widowControl w:val="0"/>
        <w:spacing w:after="0" w:line="276" w:lineRule="auto"/>
        <w:jc w:val="center"/>
        <w:rPr>
          <w:rFonts w:ascii="Cambria" w:eastAsia="Times New Roman" w:hAnsi="Cambria" w:cs="Times New Roman"/>
          <w:bCs/>
          <w:snapToGrid w:val="0"/>
          <w:sz w:val="20"/>
          <w:szCs w:val="20"/>
        </w:rPr>
      </w:pPr>
      <w:r w:rsidRPr="001702B9">
        <w:rPr>
          <w:rFonts w:ascii="Cambria" w:eastAsia="Times New Roman" w:hAnsi="Cambria" w:cs="Times New Roman"/>
          <w:bCs/>
          <w:snapToGrid w:val="0"/>
          <w:sz w:val="20"/>
          <w:szCs w:val="20"/>
        </w:rPr>
        <w:t>U.S. Customs Broker License</w:t>
      </w:r>
    </w:p>
    <w:p w14:paraId="689BD141" w14:textId="6760EECE" w:rsidR="001702B9" w:rsidRPr="001702B9" w:rsidRDefault="001702B9" w:rsidP="001702B9">
      <w:pPr>
        <w:widowControl w:val="0"/>
        <w:spacing w:after="0" w:line="276" w:lineRule="auto"/>
        <w:jc w:val="center"/>
        <w:rPr>
          <w:rFonts w:ascii="Cambria" w:eastAsia="Times New Roman" w:hAnsi="Cambria" w:cs="Times New Roman"/>
          <w:bCs/>
          <w:snapToGrid w:val="0"/>
          <w:sz w:val="20"/>
          <w:szCs w:val="20"/>
        </w:rPr>
      </w:pPr>
      <w:r w:rsidRPr="001702B9">
        <w:rPr>
          <w:rFonts w:ascii="Cambria" w:eastAsia="Times New Roman" w:hAnsi="Cambria" w:cs="Times New Roman"/>
          <w:bCs/>
          <w:snapToGrid w:val="0"/>
          <w:sz w:val="20"/>
          <w:szCs w:val="20"/>
        </w:rPr>
        <w:t>Certified Public Accountant by the Texas Board of Public Accountancy</w:t>
      </w:r>
    </w:p>
    <w:p w14:paraId="4E797DD9" w14:textId="2D5BEB39" w:rsidR="009E3994" w:rsidRPr="009E3994" w:rsidRDefault="001702B9" w:rsidP="009E3994">
      <w:pPr>
        <w:widowControl w:val="0"/>
        <w:spacing w:after="0" w:line="276" w:lineRule="auto"/>
        <w:jc w:val="center"/>
        <w:rPr>
          <w:rFonts w:ascii="Cambria" w:eastAsia="Times New Roman" w:hAnsi="Cambria" w:cs="Times New Roman"/>
          <w:bCs/>
          <w:i/>
          <w:iCs/>
          <w:snapToGrid w:val="0"/>
          <w:sz w:val="20"/>
          <w:szCs w:val="20"/>
        </w:rPr>
      </w:pPr>
      <w:r>
        <w:rPr>
          <w:rFonts w:ascii="Cambria" w:eastAsia="Times New Roman" w:hAnsi="Cambria" w:cs="Times New Roman"/>
          <w:bCs/>
          <w:snapToGrid w:val="0"/>
          <w:sz w:val="20"/>
          <w:szCs w:val="20"/>
        </w:rPr>
        <w:t xml:space="preserve"> </w:t>
      </w:r>
    </w:p>
    <w:p w14:paraId="25DDDD7A" w14:textId="77777777" w:rsidR="009E3994" w:rsidRPr="009E3994" w:rsidRDefault="009E3994" w:rsidP="009E3994">
      <w:pPr>
        <w:widowControl w:val="0"/>
        <w:spacing w:after="0" w:line="276" w:lineRule="auto"/>
        <w:jc w:val="center"/>
        <w:rPr>
          <w:rFonts w:ascii="Cambria" w:eastAsia="Times New Roman" w:hAnsi="Cambria" w:cs="Times New Roman"/>
          <w:b/>
          <w:snapToGrid w:val="0"/>
          <w:sz w:val="21"/>
          <w:szCs w:val="21"/>
        </w:rPr>
      </w:pPr>
      <w:r w:rsidRPr="009E3994">
        <w:rPr>
          <w:rFonts w:ascii="Cambria" w:eastAsia="Times New Roman" w:hAnsi="Cambria" w:cs="Times New Roman"/>
          <w:b/>
          <w:snapToGrid w:val="0"/>
          <w:sz w:val="21"/>
          <w:szCs w:val="21"/>
        </w:rPr>
        <w:t xml:space="preserve"> </w:t>
      </w:r>
    </w:p>
    <w:p w14:paraId="679FAA4F" w14:textId="77777777" w:rsidR="00FC55D5" w:rsidRDefault="0077050D"/>
    <w:sectPr w:rsidR="00FC55D5" w:rsidSect="009E3994">
      <w:headerReference w:type="even" r:id="rId9"/>
      <w:headerReference w:type="default" r:id="rId10"/>
      <w:footerReference w:type="first" r:id="rId11"/>
      <w:pgSz w:w="12240" w:h="15840" w:code="1"/>
      <w:pgMar w:top="142" w:right="540" w:bottom="0" w:left="72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30AB3" w14:textId="77777777" w:rsidR="0077050D" w:rsidRDefault="0077050D" w:rsidP="008A4F89">
      <w:pPr>
        <w:spacing w:after="0" w:line="240" w:lineRule="auto"/>
      </w:pPr>
      <w:r>
        <w:separator/>
      </w:r>
    </w:p>
  </w:endnote>
  <w:endnote w:type="continuationSeparator" w:id="0">
    <w:p w14:paraId="7D8B6F89" w14:textId="77777777" w:rsidR="0077050D" w:rsidRDefault="0077050D" w:rsidP="008A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D6CB1" w14:textId="77777777" w:rsidR="00036EEE" w:rsidRDefault="0083557D" w:rsidP="003B6FEB">
    <w:pPr>
      <w:pStyle w:val="Footer"/>
      <w:jc w:val="center"/>
      <w:rPr>
        <w:rFonts w:ascii="Calibri" w:hAnsi="Calibri"/>
      </w:rPr>
    </w:pPr>
    <w:r>
      <w:rPr>
        <w:rFonts w:ascii="Calibri" w:hAnsi="Calibri"/>
        <w:i/>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556D7" w14:textId="77777777" w:rsidR="0077050D" w:rsidRDefault="0077050D" w:rsidP="008A4F89">
      <w:pPr>
        <w:spacing w:after="0" w:line="240" w:lineRule="auto"/>
      </w:pPr>
      <w:r>
        <w:separator/>
      </w:r>
    </w:p>
  </w:footnote>
  <w:footnote w:type="continuationSeparator" w:id="0">
    <w:p w14:paraId="526ECCEE" w14:textId="77777777" w:rsidR="0077050D" w:rsidRDefault="0077050D" w:rsidP="008A4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65D86" w14:textId="77777777" w:rsidR="00036EEE" w:rsidRPr="009C101F" w:rsidRDefault="0083557D" w:rsidP="00771AC6">
    <w:pPr>
      <w:tabs>
        <w:tab w:val="left" w:pos="-720"/>
        <w:tab w:val="decimal" w:pos="10710"/>
      </w:tabs>
      <w:spacing w:before="40"/>
      <w:rPr>
        <w:rFonts w:ascii="Cambria" w:hAnsi="Cambria" w:cs="Calibri Light"/>
        <w:szCs w:val="24"/>
      </w:rPr>
    </w:pPr>
    <w:r>
      <w:rPr>
        <w:rFonts w:ascii="Cambria" w:hAnsi="Cambria" w:cs="Calibri Light"/>
        <w:b/>
        <w:smallCaps/>
        <w:sz w:val="28"/>
        <w:szCs w:val="24"/>
      </w:rPr>
      <w:t xml:space="preserve">Doron </w:t>
    </w:r>
    <w:proofErr w:type="gramStart"/>
    <w:r>
      <w:rPr>
        <w:rFonts w:ascii="Cambria" w:hAnsi="Cambria" w:cs="Calibri Light"/>
        <w:b/>
        <w:smallCaps/>
        <w:sz w:val="28"/>
        <w:szCs w:val="24"/>
      </w:rPr>
      <w:t xml:space="preserve">Kotkowski  </w:t>
    </w:r>
    <w:r w:rsidRPr="00143F2E">
      <w:rPr>
        <w:rFonts w:ascii="Cambria" w:hAnsi="Cambria" w:cs="Calibri Light"/>
        <w:b/>
        <w:smallCaps/>
        <w:sz w:val="18"/>
        <w:szCs w:val="16"/>
      </w:rPr>
      <w:t>CPA</w:t>
    </w:r>
    <w:proofErr w:type="gramEnd"/>
    <w:r w:rsidRPr="00143F2E">
      <w:rPr>
        <w:rFonts w:ascii="Cambria" w:hAnsi="Cambria" w:cs="Calibri Light"/>
        <w:b/>
        <w:smallCaps/>
        <w:sz w:val="18"/>
        <w:szCs w:val="16"/>
      </w:rPr>
      <w:t>, LCB</w:t>
    </w:r>
    <w:r w:rsidRPr="009C101F">
      <w:rPr>
        <w:rFonts w:ascii="Cambria" w:hAnsi="Cambria" w:cs="Calibri Light"/>
        <w:szCs w:val="24"/>
      </w:rPr>
      <w:tab/>
    </w:r>
    <w:r w:rsidRPr="009C101F">
      <w:rPr>
        <w:rFonts w:ascii="Cambria" w:hAnsi="Cambria" w:cs="Calibri Light"/>
        <w:color w:val="7F7F7F"/>
        <w:spacing w:val="60"/>
        <w:szCs w:val="24"/>
      </w:rPr>
      <w:t>Page</w:t>
    </w:r>
    <w:r w:rsidRPr="009C101F">
      <w:rPr>
        <w:rFonts w:ascii="Cambria" w:hAnsi="Cambria" w:cs="Calibri Light"/>
        <w:szCs w:val="24"/>
      </w:rPr>
      <w:t xml:space="preserve"> | </w:t>
    </w:r>
    <w:r w:rsidRPr="009C101F">
      <w:rPr>
        <w:rFonts w:ascii="Cambria" w:hAnsi="Cambria" w:cs="Calibri Light"/>
        <w:szCs w:val="24"/>
      </w:rPr>
      <w:fldChar w:fldCharType="begin"/>
    </w:r>
    <w:r w:rsidRPr="009C101F">
      <w:rPr>
        <w:rFonts w:ascii="Cambria" w:hAnsi="Cambria" w:cs="Calibri Light"/>
        <w:szCs w:val="24"/>
      </w:rPr>
      <w:instrText xml:space="preserve"> PAGE   \* MERGEFORMAT </w:instrText>
    </w:r>
    <w:r w:rsidRPr="009C101F">
      <w:rPr>
        <w:rFonts w:ascii="Cambria" w:hAnsi="Cambria" w:cs="Calibri Light"/>
        <w:szCs w:val="24"/>
      </w:rPr>
      <w:fldChar w:fldCharType="separate"/>
    </w:r>
    <w:r w:rsidRPr="001A7502">
      <w:rPr>
        <w:rFonts w:ascii="Cambria" w:hAnsi="Cambria" w:cs="Calibri Light"/>
        <w:b/>
        <w:bCs/>
        <w:noProof/>
        <w:szCs w:val="24"/>
      </w:rPr>
      <w:t>2</w:t>
    </w:r>
    <w:r w:rsidRPr="009C101F">
      <w:rPr>
        <w:rFonts w:ascii="Cambria" w:hAnsi="Cambria" w:cs="Calibri Light"/>
        <w:b/>
        <w:bCs/>
        <w:noProof/>
        <w:szCs w:val="24"/>
      </w:rPr>
      <w:fldChar w:fldCharType="end"/>
    </w:r>
  </w:p>
  <w:p w14:paraId="7CBEAD1A" w14:textId="77777777" w:rsidR="00036EEE" w:rsidRPr="00224E5B" w:rsidRDefault="0077050D" w:rsidP="00771AC6">
    <w:pPr>
      <w:pBdr>
        <w:top w:val="double" w:sz="4" w:space="1" w:color="1F3864"/>
      </w:pBdr>
      <w:tabs>
        <w:tab w:val="left" w:pos="-720"/>
        <w:tab w:val="decimal" w:pos="10710"/>
      </w:tabs>
      <w:spacing w:before="40"/>
      <w:rPr>
        <w:rFonts w:ascii="Book Antiqua" w:hAnsi="Book Antiqua"/>
        <w:sz w:val="1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90CE1" w14:textId="014A3BD6" w:rsidR="004148C2" w:rsidRDefault="0083557D" w:rsidP="008A4F89">
    <w:pPr>
      <w:tabs>
        <w:tab w:val="left" w:pos="-720"/>
        <w:tab w:val="decimal" w:pos="10710"/>
      </w:tabs>
      <w:spacing w:before="40"/>
      <w:rPr>
        <w:rFonts w:ascii="Cambria" w:hAnsi="Cambria" w:cs="Calibri Light"/>
        <w:b/>
        <w:bCs/>
        <w:noProof/>
        <w:szCs w:val="24"/>
      </w:rPr>
    </w:pPr>
    <w:r>
      <w:rPr>
        <w:rFonts w:ascii="Cambria" w:hAnsi="Cambria" w:cs="Calibri Light"/>
        <w:b/>
        <w:smallCaps/>
        <w:sz w:val="28"/>
        <w:szCs w:val="24"/>
      </w:rPr>
      <w:t xml:space="preserve">   Doron Kot</w:t>
    </w:r>
    <w:r w:rsidR="008A4F89">
      <w:rPr>
        <w:rFonts w:ascii="Cambria" w:hAnsi="Cambria" w:cs="Calibri Light"/>
        <w:b/>
        <w:smallCaps/>
        <w:sz w:val="28"/>
        <w:szCs w:val="24"/>
      </w:rPr>
      <w:t>ko</w:t>
    </w:r>
    <w:r>
      <w:rPr>
        <w:rFonts w:ascii="Cambria" w:hAnsi="Cambria" w:cs="Calibri Light"/>
        <w:b/>
        <w:smallCaps/>
        <w:sz w:val="28"/>
        <w:szCs w:val="24"/>
      </w:rPr>
      <w:t xml:space="preserve">wski  </w:t>
    </w:r>
    <w:r w:rsidR="00C8406C">
      <w:rPr>
        <w:rFonts w:ascii="Cambria" w:hAnsi="Cambria" w:cs="Calibri Light"/>
        <w:b/>
        <w:smallCaps/>
        <w:sz w:val="28"/>
        <w:szCs w:val="24"/>
      </w:rPr>
      <w:t xml:space="preserve">                                                                                                                                                     </w:t>
    </w:r>
    <w:r w:rsidRPr="009C101F">
      <w:rPr>
        <w:rFonts w:ascii="Cambria" w:hAnsi="Cambria" w:cs="Calibri Light"/>
        <w:color w:val="7F7F7F"/>
        <w:spacing w:val="60"/>
        <w:szCs w:val="24"/>
      </w:rPr>
      <w:t>Page</w:t>
    </w:r>
    <w:r w:rsidRPr="009C101F">
      <w:rPr>
        <w:rFonts w:ascii="Cambria" w:hAnsi="Cambria" w:cs="Calibri Light"/>
        <w:szCs w:val="24"/>
      </w:rPr>
      <w:t xml:space="preserve"> | </w:t>
    </w:r>
    <w:r w:rsidRPr="009C101F">
      <w:rPr>
        <w:rFonts w:ascii="Cambria" w:hAnsi="Cambria" w:cs="Calibri Light"/>
        <w:szCs w:val="24"/>
      </w:rPr>
      <w:fldChar w:fldCharType="begin"/>
    </w:r>
    <w:r w:rsidRPr="009C101F">
      <w:rPr>
        <w:rFonts w:ascii="Cambria" w:hAnsi="Cambria" w:cs="Calibri Light"/>
        <w:szCs w:val="24"/>
      </w:rPr>
      <w:instrText xml:space="preserve"> PAGE   \* MERGEFORMAT </w:instrText>
    </w:r>
    <w:r w:rsidRPr="009C101F">
      <w:rPr>
        <w:rFonts w:ascii="Cambria" w:hAnsi="Cambria" w:cs="Calibri Light"/>
        <w:szCs w:val="24"/>
      </w:rPr>
      <w:fldChar w:fldCharType="separate"/>
    </w:r>
    <w:r>
      <w:rPr>
        <w:rFonts w:ascii="Cambria" w:hAnsi="Cambria" w:cs="Calibri Light"/>
        <w:szCs w:val="24"/>
      </w:rPr>
      <w:t>2</w:t>
    </w:r>
    <w:r w:rsidRPr="009C101F">
      <w:rPr>
        <w:rFonts w:ascii="Cambria" w:hAnsi="Cambria" w:cs="Calibri Light"/>
        <w:b/>
        <w:bCs/>
        <w:noProof/>
        <w:szCs w:val="24"/>
      </w:rPr>
      <w:fldChar w:fldCharType="end"/>
    </w:r>
  </w:p>
  <w:p w14:paraId="33F01EE2" w14:textId="77777777" w:rsidR="00036EEE" w:rsidRPr="004148C2" w:rsidRDefault="0077050D" w:rsidP="00414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568A9"/>
    <w:multiLevelType w:val="singleLevel"/>
    <w:tmpl w:val="04090001"/>
    <w:lvl w:ilvl="0">
      <w:start w:val="1"/>
      <w:numFmt w:val="bullet"/>
      <w:lvlText w:val=""/>
      <w:lvlJc w:val="left"/>
      <w:pPr>
        <w:tabs>
          <w:tab w:val="num" w:pos="504"/>
        </w:tabs>
        <w:ind w:left="504" w:hanging="360"/>
      </w:pPr>
      <w:rPr>
        <w:rFonts w:ascii="Symbol" w:hAnsi="Symbol" w:hint="default"/>
      </w:rPr>
    </w:lvl>
  </w:abstractNum>
  <w:abstractNum w:abstractNumId="1" w15:restartNumberingAfterBreak="0">
    <w:nsid w:val="4D144A5D"/>
    <w:multiLevelType w:val="hybridMultilevel"/>
    <w:tmpl w:val="15781D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94"/>
    <w:rsid w:val="000450C9"/>
    <w:rsid w:val="001702B9"/>
    <w:rsid w:val="00187D5A"/>
    <w:rsid w:val="002D40BE"/>
    <w:rsid w:val="002F215C"/>
    <w:rsid w:val="00361930"/>
    <w:rsid w:val="003E0960"/>
    <w:rsid w:val="0069133C"/>
    <w:rsid w:val="006D4C5E"/>
    <w:rsid w:val="00765EB3"/>
    <w:rsid w:val="0077050D"/>
    <w:rsid w:val="007F0F24"/>
    <w:rsid w:val="0083557D"/>
    <w:rsid w:val="008A4F89"/>
    <w:rsid w:val="008F22C0"/>
    <w:rsid w:val="009E3994"/>
    <w:rsid w:val="00A62461"/>
    <w:rsid w:val="00AC00F5"/>
    <w:rsid w:val="00BA53E9"/>
    <w:rsid w:val="00BB3919"/>
    <w:rsid w:val="00C235A5"/>
    <w:rsid w:val="00C8406C"/>
    <w:rsid w:val="00CE06F8"/>
    <w:rsid w:val="00CE5DEA"/>
    <w:rsid w:val="00D224FD"/>
    <w:rsid w:val="00DD4A11"/>
    <w:rsid w:val="00DE595E"/>
    <w:rsid w:val="00F44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25FFA"/>
  <w15:chartTrackingRefBased/>
  <w15:docId w15:val="{FA60DCFE-EF6D-492B-8228-C0AA4934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3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994"/>
  </w:style>
  <w:style w:type="paragraph" w:styleId="Header">
    <w:name w:val="header"/>
    <w:basedOn w:val="Normal"/>
    <w:link w:val="HeaderChar"/>
    <w:uiPriority w:val="99"/>
    <w:unhideWhenUsed/>
    <w:rsid w:val="009E3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994"/>
  </w:style>
  <w:style w:type="paragraph" w:styleId="ListParagraph">
    <w:name w:val="List Paragraph"/>
    <w:basedOn w:val="Normal"/>
    <w:uiPriority w:val="34"/>
    <w:qFormat/>
    <w:rsid w:val="002D40BE"/>
    <w:pPr>
      <w:ind w:left="720"/>
      <w:contextualSpacing/>
    </w:pPr>
  </w:style>
  <w:style w:type="character" w:styleId="Hyperlink">
    <w:name w:val="Hyperlink"/>
    <w:basedOn w:val="DefaultParagraphFont"/>
    <w:uiPriority w:val="99"/>
    <w:unhideWhenUsed/>
    <w:rsid w:val="00187D5A"/>
    <w:rPr>
      <w:color w:val="0563C1" w:themeColor="hyperlink"/>
      <w:u w:val="single"/>
    </w:rPr>
  </w:style>
  <w:style w:type="character" w:styleId="UnresolvedMention">
    <w:name w:val="Unresolved Mention"/>
    <w:basedOn w:val="DefaultParagraphFont"/>
    <w:uiPriority w:val="99"/>
    <w:semiHidden/>
    <w:unhideWhenUsed/>
    <w:rsid w:val="00187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on.kotkowski@newellc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85C52-2223-42EF-852A-CD07939A3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Melendez, Luisa</dc:creator>
  <cp:keywords/>
  <dc:description/>
  <cp:lastModifiedBy>Kotkowski, Doron</cp:lastModifiedBy>
  <cp:revision>3</cp:revision>
  <dcterms:created xsi:type="dcterms:W3CDTF">2022-01-25T15:51:00Z</dcterms:created>
  <dcterms:modified xsi:type="dcterms:W3CDTF">2022-02-09T15:21:00Z</dcterms:modified>
</cp:coreProperties>
</file>