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stylesWithEffects.xml" ContentType="application/vnd.ms-word.stylesWithEffect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>
      <w:pPr>
        <w:pStyle w:val="Normal"/>
      </w:pPr>
      <w:r>
        <w:rPr>
          <w:noProof/>
        </w:rPr>
        <w:drawing>
          <wp:inline distT="0" distB="0" distL="0" distR="0">
            <wp:extent cx="5488305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30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b/>
          <w:sz w:val="44"/>
          <w:szCs w:val="44"/>
        </w:rPr>
      </w:pPr>
    </w:p>
    <w:p>
      <w:pPr>
        <w:pStyle w:val="Normal"/>
        <w:jc w:val="center"/>
      </w:pPr>
      <w:r>
        <w:rPr>
          <w:b/>
          <w:sz w:val="44"/>
          <w:szCs w:val="44"/>
        </w:rPr>
        <w:t>Job Opportunity</w:t>
      </w:r>
    </w:p>
    <w:p>
      <w:pPr>
        <w:pStyle w:val="Normal"/>
      </w:pPr>
    </w:p>
    <w:p>
      <w:pPr>
        <w:pStyle w:val="Normal"/>
      </w:pPr>
    </w:p>
    <w:tbl>
      <w:tblPr>
        <w:tblBorders>
          <w:top w:val="single" w:sz="4" w:color="000000" w:space="0"/>
          <w:bottom w:val="single" w:sz="4" w:color="000000" w:space="0"/>
          <w:left w:val="single" w:sz="4" w:color="000000" w:space="0"/>
          <w:right w:val="single" w:sz="4" w:color="000000" w:space="0"/>
          <w:insideH w:val="single" w:sz="4" w:color="000000" w:space="0"/>
          <w:insideV w:val="single" w:sz="4" w:color="000000" w:space="0"/>
        </w:tblBorders>
        <w:tblStyle w:val="TableNormal"/>
        <w:tblLook w:val="A0"/>
        <w:tblW w:w="0" w:type="auto"/>
      </w:tblPr>
      <w:tblGrid>
        <w:gridCol w:w="2448"/>
        <w:gridCol w:w="6408"/>
      </w:tblGrid>
      <w:tr>
        <w:tc>
          <w:tcPr>
            <w:vAlign w:val="top"/>
            <w:tcW w:w="2448" w:type="dxa"/>
          </w:tcPr>
          <w:p>
            <w:pPr>
              <w:pStyle w:val="Normal"/>
            </w:pPr>
            <w:r>
              <w:rPr/>
              <w:t>Company</w:t>
            </w:r>
          </w:p>
        </w:tc>
        <w:tc>
          <w:tcPr>
            <w:vAlign w:val="top"/>
            <w:tcW w:w="6408" w:type="dxa"/>
          </w:tcPr>
          <w:p>
            <w:pPr>
              <w:pStyle w:val="Normal"/>
            </w:pPr>
            <w:r>
              <w:t>A. O. Smith Corporation</w:t>
            </w:r>
          </w:p>
        </w:tc>
      </w:tr>
      <w:tr>
        <w:tc>
          <w:tcPr>
            <w:vAlign w:val="top"/>
            <w:tcW w:w="2448" w:type="dxa"/>
          </w:tcPr>
          <w:p>
            <w:pPr>
              <w:pStyle w:val="Normal"/>
            </w:pPr>
            <w:r>
              <w:rPr/>
              <w:t>Job Title</w:t>
            </w:r>
          </w:p>
        </w:tc>
        <w:tc>
          <w:tcPr>
            <w:vAlign w:val="top"/>
            <w:tcW w:w="6408" w:type="dxa"/>
          </w:tcPr>
          <w:p>
            <w:pPr>
              <w:pStyle w:val="Normal"/>
            </w:pPr>
            <w:r>
              <w:t>Senior Trade Compliance Analyst</w:t>
            </w:r>
          </w:p>
        </w:tc>
      </w:tr>
      <w:tr>
        <w:tc>
          <w:tcPr>
            <w:vAlign w:val="top"/>
            <w:tcW w:w="2448" w:type="dxa"/>
          </w:tcPr>
          <w:p>
            <w:pPr>
              <w:pStyle w:val="Normal"/>
            </w:pPr>
            <w:r>
              <w:rPr/>
              <w:t>Location</w:t>
            </w:r>
          </w:p>
        </w:tc>
        <w:tc>
          <w:tcPr>
            <w:vAlign w:val="top"/>
            <w:tcW w:w="6408" w:type="dxa"/>
          </w:tcPr>
          <w:p>
            <w:pPr>
              <w:pStyle w:val="Normal"/>
            </w:pPr>
            <w:r>
              <w:t>Ashland City, TN</w:t>
            </w:r>
          </w:p>
        </w:tc>
      </w:tr>
      <w:tr>
        <w:tc>
          <w:tcPr>
            <w:vAlign w:val="top"/>
            <w:tcW w:w="2448" w:type="dxa"/>
          </w:tcPr>
          <w:p>
            <w:pPr>
              <w:pStyle w:val="Normal"/>
            </w:pPr>
            <w:r>
              <w:rPr/>
              <w:t>Salary Range</w:t>
            </w:r>
          </w:p>
        </w:tc>
        <w:tc>
          <w:tcPr>
            <w:vAlign w:val="top"/>
            <w:tcW w:w="6408" w:type="dxa"/>
          </w:tcPr>
          <w:p>
            <w:pPr>
              <w:pStyle w:val="Normal"/>
            </w:pPr>
          </w:p>
        </w:tc>
      </w:tr>
      <w:tr>
        <w:tc>
          <w:tcPr>
            <w:vAlign w:val="top"/>
            <w:tcW w:w="2448" w:type="dxa"/>
          </w:tcPr>
          <w:p>
            <w:pPr>
              <w:pStyle w:val="Normal"/>
            </w:pPr>
            <w:r>
              <w:rPr/>
              <w:t>Relocation Assistance</w:t>
            </w:r>
          </w:p>
        </w:tc>
        <w:tc>
          <w:tcPr>
            <w:vAlign w:val="top"/>
            <w:tcW w:w="6408" w:type="dxa"/>
          </w:tcPr>
          <w:p>
            <w:pPr>
              <w:pStyle w:val="Normal"/>
            </w:pPr>
          </w:p>
        </w:tc>
      </w:tr>
    </w:tbl>
    <w:p>
      <w:pPr>
        <w:pStyle w:val="Normal"/>
      </w:pPr>
    </w:p>
    <w:p>
      <w:pPr>
        <w:pStyle w:val="Normal"/>
      </w:pPr>
    </w:p>
    <w:p>
      <w:pPr>
        <w:pStyle w:val="Normal"/>
      </w:pPr>
      <w:r>
        <w:rPr>
          <w:b/>
          <w:u w:val="single"/>
          <w:sz w:val="32"/>
          <w:szCs w:val="32"/>
        </w:rPr>
        <w:t>Job Description</w:t>
      </w:r>
      <w:r>
        <w:rPr>
          <w:b/>
          <w:u w:val="single"/>
          <w:sz w:val="32"/>
          <w:szCs w:val="32"/>
        </w:rPr>
        <w:t xml:space="preserve"> / Responsibilities / Requirements</w:t>
      </w:r>
    </w:p>
    <w:p>
      <w:pPr>
        <w:pStyle w:val="Normal"/>
      </w:pPr>
      <w:r/>
    </w:p>
    <w:p>
      <w:pPr>
        <w:pStyle w:val="Normal"/>
        <w:rPr>
          <w:b/>
          <w:u w:val="single"/>
          <w:sz w:val="32"/>
          <w:szCs w:val="32"/>
        </w:rPr>
      </w:pPr>
      <w:r>
        <w:rPr>
          <w:b w:val="0"/>
          <w:u w:val="single"/>
          <w:sz w:val="24"/>
        </w:rPr>
        <w:t>RESPONSIBILITIES</w:t>
      </w:r>
    </w:p>
    <w:p>
      <w:pPr>
        <w:pStyle w:val="Normal"/>
        <w:rPr>
          <w:b w:val="0"/>
          <w:u w:val="none"/>
          <w:sz w:val="24"/>
          <w:szCs w:val="32"/>
        </w:rPr>
      </w:pPr>
      <w:r>
        <w:rPr>
          <w:b w:val="0"/>
          <w:u w:val="none"/>
          <w:sz w:val="24"/>
        </w:rPr>
        <w:t>Provide import/export support to end-users. Track shipments and documents throughout the shipment lifecycle. Understand Customs procedures and work with appointed agents and Customs Brokers.</w:t>
      </w:r>
    </w:p>
    <w:p>
      <w:pPr>
        <w:pStyle w:val="Normal"/>
        <w:rPr>
          <w:b w:val="0"/>
          <w:u w:val="none"/>
          <w:sz w:val="24"/>
        </w:rPr>
      </w:pPr>
      <w:r>
        <w:t xml:space="preserve">Provide clear Customs documentation for Import and Export shipments. </w:t>
      </w:r>
    </w:p>
    <w:p>
      <w:pPr>
        <w:pStyle w:val="Normal"/>
        <w:rPr>
          <w:b w:val="0"/>
          <w:u w:val="none"/>
          <w:sz w:val="24"/>
        </w:rPr>
      </w:pPr>
      <w:r>
        <w:t xml:space="preserve">Keep meticulous records to meet record keeping requirements. </w:t>
      </w:r>
    </w:p>
    <w:p>
      <w:pPr>
        <w:pStyle w:val="Normal"/>
        <w:rPr>
          <w:b w:val="0"/>
          <w:u w:val="none"/>
          <w:sz w:val="24"/>
        </w:rPr>
      </w:pPr>
      <w:r>
        <w:t xml:space="preserve">Conduct audits of import and export documentation and procedures. Monitor, maintain, operate, and analyze CBP and/or CBSA websites and tools. </w:t>
      </w:r>
    </w:p>
    <w:p>
      <w:pPr>
        <w:pStyle w:val="Normal"/>
        <w:rPr>
          <w:b w:val="0"/>
          <w:u w:val="none"/>
          <w:sz w:val="24"/>
        </w:rPr>
      </w:pPr>
      <w:r>
        <w:t>Conduct restricted party screenings of business partners and end users, document screening results and make determinations of approval/denial status with minimal supervision.</w:t>
      </w:r>
    </w:p>
    <w:p>
      <w:pPr>
        <w:pStyle w:val="Normal"/>
        <w:rPr>
          <w:b w:val="0"/>
          <w:u w:val="none"/>
          <w:sz w:val="24"/>
        </w:rPr>
      </w:pPr>
      <w:r>
        <w:t xml:space="preserve">Conduct HTS classification determinations, including gathering and analyzing technical data in connection with product/parts classification projects. </w:t>
      </w:r>
    </w:p>
    <w:p>
      <w:pPr>
        <w:pStyle w:val="Normal"/>
        <w:rPr>
          <w:b w:val="0"/>
          <w:u w:val="none"/>
          <w:sz w:val="24"/>
        </w:rPr>
      </w:pPr>
      <w:r>
        <w:t>Analyze C-TPAT procedures for various corporation locations. Conduct C-TPAT audits, site visits, and verifications.</w:t>
      </w:r>
    </w:p>
    <w:p>
      <w:pPr>
        <w:pStyle w:val="Normal"/>
        <w:rPr>
          <w:b w:val="0"/>
          <w:u w:val="none"/>
          <w:sz w:val="24"/>
        </w:rPr>
      </w:pPr>
      <w:r>
        <w:t xml:space="preserve">Analyze the eligibility of goods for various Free Trade Agreements, including USMCA. </w:t>
      </w:r>
    </w:p>
    <w:p>
      <w:pPr>
        <w:pStyle w:val="Normal"/>
        <w:rPr>
          <w:b w:val="0"/>
          <w:u w:val="none"/>
          <w:sz w:val="24"/>
        </w:rPr>
      </w:pPr>
      <w:r>
        <w:t xml:space="preserve">Compile, organize and analyze complex information for inclusion in reports and other data analysis efforts, to include regularly scheduled reporting requirements of sufficient detail to support business decisions. </w:t>
      </w:r>
    </w:p>
    <w:p>
      <w:pPr>
        <w:pStyle w:val="Normal"/>
        <w:rPr>
          <w:b w:val="0"/>
          <w:u w:val="none"/>
          <w:sz w:val="24"/>
        </w:rPr>
      </w:pPr>
      <w:r>
        <w:t>Assist in the solicitation, collection, analysis, and renewal of compliance affidavits, including the support of Conflict Minerals, RoHS, REACH, and other compliance requirements.</w:t>
      </w:r>
    </w:p>
    <w:p>
      <w:pPr>
        <w:pStyle w:val="Normal"/>
        <w:rPr>
          <w:b/>
          <w:u w:val="single"/>
          <w:sz w:val="32"/>
          <w:szCs w:val="32"/>
        </w:rPr>
      </w:pPr>
    </w:p>
    <w:p>
      <w:pPr>
        <w:pStyle w:val="Normal"/>
        <w:rPr>
          <w:b/>
          <w:u w:val="single"/>
          <w:sz w:val="32"/>
          <w:szCs w:val="32"/>
        </w:rPr>
      </w:pPr>
    </w:p>
    <w:p>
      <w:pPr>
        <w:pStyle w:val="Normal"/>
        <w:rPr>
          <w:b/>
          <w:u w:val="single"/>
          <w:sz w:val="32"/>
          <w:szCs w:val="32"/>
        </w:rPr>
      </w:pPr>
    </w:p>
    <w:p>
      <w:pPr>
        <w:pStyle w:val="Normal"/>
        <w:rPr>
          <w:b/>
          <w:u w:val="single"/>
          <w:sz w:val="32"/>
          <w:szCs w:val="32"/>
        </w:rPr>
      </w:pPr>
    </w:p>
    <w:p>
      <w:pPr>
        <w:pStyle w:val="Normal"/>
        <w:rPr>
          <w:u w:val="single"/>
        </w:rPr>
      </w:pPr>
      <w:r>
        <w:rPr>
          <w:b w:val="0"/>
          <w:u w:val="single"/>
          <w:sz w:val="24"/>
        </w:rPr>
        <w:t>QUALIFICATIONS</w:t>
      </w:r>
    </w:p>
    <w:p>
      <w:pPr>
        <w:pStyle w:val="Normal"/>
        <w:rPr>
          <w:b w:val="0"/>
          <w:u w:val="none"/>
          <w:sz w:val="24"/>
          <w:szCs w:val="32"/>
        </w:rPr>
      </w:pPr>
      <w:r>
        <w:rPr>
          <w:b w:val="0"/>
          <w:u w:val="none"/>
          <w:sz w:val="24"/>
        </w:rPr>
        <w:t>Up to date Customs Broker License required.</w:t>
      </w:r>
    </w:p>
    <w:p>
      <w:pPr>
        <w:pStyle w:val="Normal"/>
        <w:rPr>
          <w:b w:val="0"/>
          <w:u w:val="none"/>
          <w:sz w:val="24"/>
        </w:rPr>
      </w:pPr>
      <w:r>
        <w:t>Must have HTS Classification experience. Experience with binding rulings preferred.</w:t>
      </w:r>
    </w:p>
    <w:p>
      <w:pPr>
        <w:pStyle w:val="Normal"/>
        <w:rPr>
          <w:b w:val="0"/>
          <w:u w:val="none"/>
          <w:sz w:val="24"/>
        </w:rPr>
      </w:pPr>
      <w:r>
        <w:t>CBP website knowledge regarding C-TPAT, ACE, SNAP-R, AES, CAED.</w:t>
      </w:r>
    </w:p>
    <w:p>
      <w:pPr>
        <w:pStyle w:val="Normal"/>
        <w:rPr>
          <w:b w:val="0"/>
          <w:u w:val="none"/>
          <w:sz w:val="24"/>
        </w:rPr>
      </w:pPr>
      <w:r>
        <w:t>Experience working with customs brokers and freight forwarders. Prior experience working for a brokerage or forwarding firm is preferred.</w:t>
      </w:r>
    </w:p>
    <w:p>
      <w:pPr>
        <w:pStyle w:val="Normal"/>
        <w:rPr>
          <w:b w:val="0"/>
          <w:u w:val="none"/>
          <w:sz w:val="24"/>
        </w:rPr>
      </w:pPr>
      <w:r>
        <w:t>Leadership experience, and experience working within a matrix organization required.</w:t>
      </w:r>
    </w:p>
    <w:p>
      <w:pPr>
        <w:pStyle w:val="Normal"/>
        <w:rPr>
          <w:b w:val="0"/>
          <w:u w:val="none"/>
          <w:sz w:val="24"/>
        </w:rPr>
      </w:pPr>
      <w:r>
        <w:t>Effective organizational, interpersonal and communication skills.</w:t>
      </w:r>
    </w:p>
    <w:p>
      <w:pPr>
        <w:pStyle w:val="Normal"/>
        <w:rPr>
          <w:b w:val="0"/>
          <w:u w:val="none"/>
          <w:sz w:val="24"/>
        </w:rPr>
      </w:pPr>
      <w:r>
        <w:t>Proven ability to organize work, manage time, and follow through with minimal supervision.</w:t>
      </w:r>
    </w:p>
    <w:p>
      <w:pPr>
        <w:pStyle w:val="Normal"/>
        <w:rPr>
          <w:b w:val="0"/>
          <w:u w:val="none"/>
          <w:sz w:val="24"/>
        </w:rPr>
      </w:pPr>
      <w:r>
        <w:t>Concise written and oral communication skills, the ability to train others in a group setting, and the ability to deliver presentations to large groups required.</w:t>
      </w:r>
    </w:p>
    <w:p>
      <w:pPr>
        <w:pStyle w:val="Normal"/>
        <w:rPr>
          <w:b w:val="0"/>
          <w:u w:val="none"/>
          <w:sz w:val="24"/>
        </w:rPr>
      </w:pPr>
      <w:r>
        <w:t>Travel required</w:t>
      </w:r>
    </w:p>
    <w:p>
      <w:pPr>
        <w:pStyle w:val="Normal"/>
        <w:rPr>
          <w:b/>
          <w:u w:val="single"/>
          <w:sz w:val="32"/>
          <w:szCs w:val="32"/>
        </w:rPr>
      </w:pPr>
    </w:p>
    <w:p>
      <w:pPr>
        <w:pStyle w:val="Normal"/>
        <w:rPr>
          <w:b/>
          <w:u w:val="single"/>
          <w:sz w:val="32"/>
          <w:szCs w:val="32"/>
        </w:rPr>
      </w:pPr>
    </w:p>
    <w:p>
      <w:pPr>
        <w:pStyle w:val="Normal"/>
        <w:rPr>
          <w:b/>
          <w:u w:val="single"/>
          <w:sz w:val="32"/>
          <w:szCs w:val="32"/>
        </w:rPr>
      </w:pPr>
      <w:r>
        <w:rPr>
          <w:b/>
          <w:u w:val="single"/>
          <w:sz w:val="32"/>
        </w:rPr>
        <w:t>Contact Information to Apply</w:t>
      </w:r>
    </w:p>
    <w:p>
      <w:pPr>
        <w:pStyle w:val="Normal"/>
        <w:rPr>
          <w:b/>
          <w:u w:val="single"/>
          <w:sz w:val="32"/>
          <w:szCs w:val="32"/>
        </w:rPr>
      </w:pPr>
    </w:p>
    <w:p>
      <w:pPr>
        <w:pStyle w:val="Normal"/>
        <w:rPr>
          <w:b/>
          <w:u w:val="none"/>
          <w:sz w:val="32"/>
          <w:szCs w:val="32"/>
        </w:rPr>
      </w:pPr>
      <w:r>
        <w:rPr>
          <w:b/>
          <w:u w:val="none"/>
          <w:sz w:val="32"/>
        </w:rPr>
        <w:t>https://jobs.aosmith.com/job/Ashland-City-Trade-Compliance-Analyst%2C-Senior-TN-37015/743631700/</w:t>
      </w:r>
    </w:p>
    <w:sectPr>
      <w:pgSz w:w="12240" w:h="15840"/>
      <w:pgMar w:left="1800" w:right="1800" w:top="1440" w:bottom="1440"/>
      <w:pgBorders w:zOrder="front" w:display="allPages" w:offsetFrom="page">
        <w:top w:val="single" w:sz="24" w:color="000000" w:space="24"/>
        <w:bottom w:val="single" w:sz="24" w:color="000000" w:space="24"/>
        <w:left w:val="single" w:sz="24" w:color="000000" w:space="24"/>
        <w:right w:val="single" w:sz="24" w:color="000000" w:space="24"/>
      </w:pgBorders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/>
  <w:font w:name="Symbol"/>
  <w:font w:name="Arial"/>
  <w:font w:name="Tahoma"/>
  <w:font w:name="Calibri"/>
  <w:font w:name="Cambria"/>
  <w:font w:name="Courier New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lvlJc w:val="left"/>
      <w:pPr>
        <w:ind w:left="720"/>
        <w:ind w:hanging="360"/>
      </w:pPr>
      <w:rPr>
        <w:rFonts w:ascii="Symbol" w:hAnsi="Symbol"/>
      </w:rPr>
    </w:lvl>
    <w:lvl w:ilvl="1">
      <w:numFmt w:val="bullet"/>
      <w:lvlText w:val="o"/>
      <w:start w:val="0"/>
      <w:lvlJc w:val="left"/>
      <w:pPr>
        <w:ind w:left="1440"/>
        <w:ind w:hanging="1080"/>
      </w:pPr>
      <w:rPr>
        <w:rFonts w:ascii="Courier New" w:hAnsi="Courier New"/>
      </w:rPr>
    </w:lvl>
    <w:lvl w:ilvl="2">
      <w:numFmt w:val="bullet"/>
      <w:lvlText w:val=""/>
      <w:start w:val="0"/>
      <w:lvlJc w:val="left"/>
      <w:pPr>
        <w:ind w:left="2160"/>
        <w:ind w:hanging="1800"/>
      </w:pPr>
      <w:rPr/>
    </w:lvl>
    <w:lvl w:ilvl="3">
      <w:numFmt w:val="bullet"/>
      <w:lvlText w:val=""/>
      <w:start w:val="0"/>
      <w:lvlJc w:val="left"/>
      <w:pPr>
        <w:ind w:left="2880"/>
        <w:ind w:hanging="2520"/>
      </w:pPr>
      <w:rPr>
        <w:rFonts w:ascii="Symbol" w:hAnsi="Symbol"/>
      </w:rPr>
    </w:lvl>
    <w:lvl w:ilvl="4">
      <w:numFmt w:val="bullet"/>
      <w:lvlText w:val="o"/>
      <w:start w:val="0"/>
      <w:lvlJc w:val="left"/>
      <w:pPr>
        <w:ind w:left="3600"/>
        <w:ind w:hanging="3240"/>
      </w:pPr>
      <w:rPr>
        <w:rFonts w:ascii="Courier New" w:hAnsi="Courier New"/>
      </w:rPr>
    </w:lvl>
    <w:lvl w:ilvl="5">
      <w:numFmt w:val="bullet"/>
      <w:lvlText w:val=""/>
      <w:start w:val="0"/>
      <w:lvlJc w:val="left"/>
      <w:pPr>
        <w:ind w:left="4320"/>
        <w:ind w:hanging="3960"/>
      </w:pPr>
      <w:rPr/>
    </w:lvl>
    <w:lvl w:ilvl="6">
      <w:numFmt w:val="bullet"/>
      <w:lvlText w:val=""/>
      <w:start w:val="0"/>
      <w:lvlJc w:val="left"/>
      <w:pPr>
        <w:ind w:left="5040"/>
        <w:ind w:hanging="4680"/>
      </w:pPr>
      <w:rPr>
        <w:rFonts w:ascii="Symbol" w:hAnsi="Symbol"/>
      </w:rPr>
    </w:lvl>
    <w:lvl w:ilvl="7">
      <w:numFmt w:val="bullet"/>
      <w:lvlText w:val="o"/>
      <w:start w:val="0"/>
      <w:lvlJc w:val="left"/>
      <w:pPr>
        <w:ind w:left="5760"/>
        <w:ind w:hanging="5400"/>
      </w:pPr>
      <w:rPr>
        <w:rFonts w:ascii="Courier New" w:hAnsi="Courier New"/>
      </w:rPr>
    </w:lvl>
    <w:lvl w:ilvl="8">
      <w:numFmt w:val="bullet"/>
      <w:lvlText w:val=""/>
      <w:start w:val="0"/>
      <w:lvlJc w:val="left"/>
      <w:pPr>
        <w:ind w:left="6480"/>
        <w:ind w:hanging="6120"/>
      </w:pPr>
      <w:rPr/>
    </w:lvl>
  </w:abstractNum>
  <w:abstractNum w:abstractNumId="10121983">
    <w:multiLevelType w:val="hybridMultilevel"/>
    <w:lvl w:ilvl="0">
      <w:numFmt w:val="decimal"/>
      <w:lvlText w:val="%1."/>
      <w:start w:val="1"/>
      <w:lvlJc w:val="left"/>
      <w:pPr>
        <w:ind w:left="720"/>
        <w:ind w:hanging="360"/>
      </w:pPr>
    </w:lvl>
    <w:lvl w:ilvl="1">
      <w:numFmt w:val="decimal"/>
      <w:lvlText w:val="%2."/>
      <w:start w:val="1"/>
      <w:lvlJc w:val="left"/>
      <w:pPr>
        <w:ind w:left="1440"/>
        <w:ind w:hanging="1080"/>
      </w:pPr>
    </w:lvl>
    <w:lvl w:ilvl="2">
      <w:numFmt w:val="decimal"/>
      <w:lvlText w:val="%3."/>
      <w:start w:val="1"/>
      <w:lvlJc w:val="left"/>
      <w:pPr>
        <w:ind w:left="2160"/>
        <w:ind w:hanging="1980"/>
      </w:pPr>
    </w:lvl>
    <w:lvl w:ilvl="3">
      <w:numFmt w:val="decimal"/>
      <w:lvlText w:val="%4."/>
      <w:start w:val="1"/>
      <w:lvlJc w:val="left"/>
      <w:pPr>
        <w:ind w:left="2880"/>
        <w:ind w:hanging="2520"/>
      </w:pPr>
    </w:lvl>
    <w:lvl w:ilvl="4">
      <w:numFmt w:val="decimal"/>
      <w:lvlText w:val="%5."/>
      <w:start w:val="1"/>
      <w:lvlJc w:val="left"/>
      <w:pPr>
        <w:ind w:left="3600"/>
        <w:ind w:hanging="3240"/>
      </w:pPr>
    </w:lvl>
    <w:lvl w:ilvl="5">
      <w:numFmt w:val="decimal"/>
      <w:lvlText w:val="%6."/>
      <w:start w:val="1"/>
      <w:lvlJc w:val="left"/>
      <w:pPr>
        <w:ind w:left="4320"/>
        <w:ind w:hanging="4140"/>
      </w:pPr>
    </w:lvl>
    <w:lvl w:ilvl="6">
      <w:numFmt w:val="decimal"/>
      <w:lvlText w:val="%7."/>
      <w:start w:val="1"/>
      <w:lvlJc w:val="left"/>
      <w:pPr>
        <w:ind w:left="5040"/>
        <w:ind w:hanging="4680"/>
      </w:pPr>
    </w:lvl>
    <w:lvl w:ilvl="7">
      <w:numFmt w:val="decimal"/>
      <w:lvlText w:val="%8."/>
      <w:start w:val="1"/>
      <w:lvlJc w:val="left"/>
      <w:pPr>
        <w:ind w:left="5760"/>
        <w:ind w:hanging="5400"/>
      </w:pPr>
    </w:lvl>
    <w:lvl w:ilvl="8">
      <w:numFmt w:val="decimal"/>
      <w:lvlText w:val="%9."/>
      <w:start w:val="1"/>
      <w:lvlJc w:val="left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rsids/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/>
      </w:rPr>
    </w:rPrDefault>
  </w:docDefaults>
  <w:latentStyles w:defLockedState="0" w:defUIPriority="99" w:defSemiHidden="1" w:defUnhideWhenUsed="1" w:defQFormat="0">
     w:count="276"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/&gt;
  </w:latentStyles>
  <w:style w:type="paragraph" w:default="1" w:styleId="Normal">
    <w:name w:val="Normal"/>
    <w:qFormat/>
    <w:pPr/>
    <w:rPr>
      <w:sz w:val="24"/>
      <w:szCs w:val="24"/>
    </w:rPr>
  </w:style>
  <w:style w:type="character" w:styleId="DefaultParagraphFont">
    <w:name w:val="Default Paragraph Font"/>
    <w:qFormat/>
  </w:style>
  <w:style w:type="table" w:styleId="TableNormal">
    <w:name w:val="Table Normal"/>
    <w:qFormat/>
    <w:pPr/>
    <w:tblPr>
      <w:tblStyle w:val="TableNormal"/>
      <w:tblLook w:val="1E0"/>
    </w:tblPr>
  </w:style>
  <w:style w:type="numbering" w:styleId="NoList">
    <w:name w:val="No List"/>
    <w:qFormat/>
  </w:style>
  <w:style w:type="table" w:styleId="TableGrid">
    <w:name w:val="Table Grid"/>
    <w:qFormat/>
    <w:basedOn w:val="TableNormal"/>
    <w:pPr/>
    <w:tblPr>
      <w:tblBorders>
        <w:top w:val="single" w:sz="4" w:color="000000" w:space="0"/>
        <w:bottom w:val="single" w:sz="4" w:color="000000" w:space="0"/>
        <w:left w:val="single" w:sz="4" w:color="000000" w:space="0"/>
        <w:right w:val="single" w:sz="4" w:color="000000" w:space="0"/>
        <w:insideH w:val="single" w:sz="4" w:color="000000" w:space="0"/>
        <w:insideV w:val="single" w:sz="4" w:color="000000" w:space="0"/>
      </w:tblBorders>
      <w:tblStyle w:val="TableGrid"/>
      <w:tblLook w:val="1E0"/>
    </w:tblPr>
  </w:style>
  <w:style w:type="paragraph" w:styleId="DocumentMap">
    <w:name w:val="Document Map"/>
    <w:qFormat/>
    <w:basedOn w:val="Normal"/>
    <w:pPr>
      <w:shd w:fill="000080"/>
    </w:pPr>
    <w:rPr>
      <w:rFonts w:ascii="Tahoma" w:hAnsi="Tahoma"/>
      <w:sz w:val="20"/>
      <w:szCs w:val="20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7" Type="http://schemas.openxmlformats.org/officeDocument/2006/relationships/image" Target="media/image1.jpg"/><Relationship Id="rId8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2007-04-30T19:01:00Z</dcterms:created>
  <dcterms:modified xsi:type="dcterms:W3CDTF">2011-09-26T12:08:00Z</dcterms:modified>
</cp:coreProperties>
</file>