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Segoe UI" w:eastAsia="Times New Roman" w:hAnsi="Segoe UI" w:cs="Segoe UI"/>
          <w:color w:val="000000"/>
          <w:sz w:val="20"/>
          <w:szCs w:val="20"/>
        </w:rPr>
        <w:t>The future is what you make it.</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Segoe UI" w:eastAsia="Times New Roman" w:hAnsi="Segoe UI" w:cs="Segoe UI"/>
          <w:color w:val="000000"/>
          <w:sz w:val="20"/>
          <w:szCs w:val="20"/>
        </w:rPr>
        <w:t> When you join Honeywell, you become a member of our global team of thinkers, innovators, dreamers and doers who make the things that make the future.</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Segoe UI" w:eastAsia="Times New Roman" w:hAnsi="Segoe UI" w:cs="Segoe UI"/>
          <w:color w:val="000000"/>
          <w:sz w:val="20"/>
          <w:szCs w:val="20"/>
        </w:rPr>
        <w:t> That means changing the way we fly, fueling jets in an eco-friendly way, keeping buildings smart and safe and even making it possible to breathe on Mars.</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Segoe UI" w:eastAsia="Times New Roman" w:hAnsi="Segoe UI" w:cs="Segoe UI"/>
          <w:color w:val="000000"/>
          <w:sz w:val="20"/>
          <w:szCs w:val="20"/>
        </w:rPr>
        <w:t> Working at Honeywell isn’t just about developing cool things. That’s why all of our employees enjoy access to dynamic career opportunities across different fields and industries.</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Segoe UI" w:eastAsia="Times New Roman" w:hAnsi="Segoe UI" w:cs="Segoe UI"/>
          <w:color w:val="000000"/>
          <w:sz w:val="20"/>
          <w:szCs w:val="20"/>
        </w:rPr>
        <w:t> Are you ready to help us make the future?</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 </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Segoe UI" w:eastAsia="Times New Roman" w:hAnsi="Segoe UI" w:cs="Segoe UI"/>
          <w:color w:val="636363"/>
          <w:sz w:val="20"/>
          <w:szCs w:val="20"/>
        </w:rPr>
        <w:t>Honeywell is seeking qualified candidates for an Assistant General Counsel IP position for our Honeywell Building Technologies (HBT) business located in Atlanta.</w:t>
      </w:r>
      <w:r w:rsidRPr="00D215CB">
        <w:rPr>
          <w:rFonts w:ascii="HoneywellSansTT-Book" w:eastAsia="Times New Roman" w:hAnsi="HoneywellSansTT-Book" w:cs="Segoe UI"/>
          <w:color w:val="636363"/>
          <w:sz w:val="24"/>
          <w:szCs w:val="24"/>
        </w:rPr>
        <w:t>   </w:t>
      </w:r>
      <w:r w:rsidRPr="00D215CB">
        <w:rPr>
          <w:rFonts w:ascii="Segoe UI" w:eastAsia="Times New Roman" w:hAnsi="Segoe UI" w:cs="Segoe UI"/>
          <w:color w:val="636363"/>
          <w:sz w:val="20"/>
          <w:szCs w:val="20"/>
        </w:rPr>
        <w:t>You will have direct responsibility for multiple strategic business units within HBT and will handle all IP issues including litigation, IP agreements, freedom to practice, and manage outside patent prosecution counsel for a significant global patent portfolio.</w:t>
      </w:r>
      <w:r w:rsidRPr="00D215CB">
        <w:rPr>
          <w:rFonts w:ascii="HoneywellSansTT-Book" w:eastAsia="Times New Roman" w:hAnsi="HoneywellSansTT-Book" w:cs="Segoe UI"/>
          <w:color w:val="636363"/>
          <w:sz w:val="24"/>
          <w:szCs w:val="24"/>
        </w:rPr>
        <w:t>     </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Segoe UI" w:eastAsia="Times New Roman" w:hAnsi="Segoe UI" w:cs="Segoe UI"/>
          <w:b/>
          <w:bCs/>
          <w:color w:val="000000"/>
          <w:sz w:val="20"/>
          <w:szCs w:val="20"/>
        </w:rPr>
        <w:t> </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Segoe UI" w:eastAsia="Times New Roman" w:hAnsi="Segoe UI" w:cs="Segoe UI"/>
          <w:b/>
          <w:bCs/>
          <w:color w:val="000000"/>
          <w:sz w:val="20"/>
          <w:szCs w:val="20"/>
        </w:rPr>
        <w:t>KEY RESPONSILITIES</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w:t>
      </w:r>
      <w:r w:rsidRPr="00D215CB">
        <w:rPr>
          <w:rFonts w:ascii="Times New Roman" w:eastAsia="Times New Roman" w:hAnsi="Times New Roman" w:cs="Times New Roman"/>
          <w:color w:val="636363"/>
          <w:sz w:val="14"/>
          <w:szCs w:val="14"/>
        </w:rPr>
        <w:t>         </w:t>
      </w:r>
      <w:r w:rsidRPr="00D215CB">
        <w:rPr>
          <w:rFonts w:ascii="Segoe UI" w:eastAsia="Times New Roman" w:hAnsi="Segoe UI" w:cs="Segoe UI"/>
          <w:color w:val="333333"/>
          <w:sz w:val="20"/>
          <w:szCs w:val="20"/>
        </w:rPr>
        <w:t>Implement and drive IP strategy</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w:t>
      </w:r>
      <w:r w:rsidRPr="00D215CB">
        <w:rPr>
          <w:rFonts w:ascii="Times New Roman" w:eastAsia="Times New Roman" w:hAnsi="Times New Roman" w:cs="Times New Roman"/>
          <w:color w:val="636363"/>
          <w:sz w:val="14"/>
          <w:szCs w:val="14"/>
        </w:rPr>
        <w:t>         </w:t>
      </w:r>
      <w:r w:rsidRPr="00D215CB">
        <w:rPr>
          <w:rFonts w:ascii="Segoe UI" w:eastAsia="Times New Roman" w:hAnsi="Segoe UI" w:cs="Segoe UI"/>
          <w:color w:val="333333"/>
          <w:sz w:val="20"/>
          <w:szCs w:val="20"/>
        </w:rPr>
        <w:t>Manage global </w:t>
      </w:r>
      <w:r w:rsidRPr="00D215CB">
        <w:rPr>
          <w:rFonts w:ascii="Segoe UI" w:eastAsia="Times New Roman" w:hAnsi="Segoe UI" w:cs="Segoe UI"/>
          <w:color w:val="636363"/>
          <w:sz w:val="20"/>
          <w:szCs w:val="20"/>
        </w:rPr>
        <w:t>outside patent prosecution counsel</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w:t>
      </w:r>
      <w:r w:rsidRPr="00D215CB">
        <w:rPr>
          <w:rFonts w:ascii="Times New Roman" w:eastAsia="Times New Roman" w:hAnsi="Times New Roman" w:cs="Times New Roman"/>
          <w:color w:val="636363"/>
          <w:sz w:val="14"/>
          <w:szCs w:val="14"/>
        </w:rPr>
        <w:t>         </w:t>
      </w:r>
      <w:r w:rsidRPr="00D215CB">
        <w:rPr>
          <w:rFonts w:ascii="Segoe UI" w:eastAsia="Times New Roman" w:hAnsi="Segoe UI" w:cs="Segoe UI"/>
          <w:color w:val="636363"/>
          <w:sz w:val="20"/>
          <w:szCs w:val="20"/>
        </w:rPr>
        <w:t>Manage patent litigation and PTAB/opposition proceedings</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w:t>
      </w:r>
      <w:r w:rsidRPr="00D215CB">
        <w:rPr>
          <w:rFonts w:ascii="Times New Roman" w:eastAsia="Times New Roman" w:hAnsi="Times New Roman" w:cs="Times New Roman"/>
          <w:color w:val="636363"/>
          <w:sz w:val="14"/>
          <w:szCs w:val="14"/>
        </w:rPr>
        <w:t>         </w:t>
      </w:r>
      <w:r w:rsidRPr="00D215CB">
        <w:rPr>
          <w:rFonts w:ascii="Segoe UI" w:eastAsia="Times New Roman" w:hAnsi="Segoe UI" w:cs="Segoe UI"/>
          <w:color w:val="636363"/>
          <w:sz w:val="20"/>
          <w:szCs w:val="20"/>
        </w:rPr>
        <w:t>Respond to, manage and resolve IP defensive matters</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lastRenderedPageBreak/>
        <w:t>·</w:t>
      </w:r>
      <w:r w:rsidRPr="00D215CB">
        <w:rPr>
          <w:rFonts w:ascii="Times New Roman" w:eastAsia="Times New Roman" w:hAnsi="Times New Roman" w:cs="Times New Roman"/>
          <w:color w:val="636363"/>
          <w:sz w:val="14"/>
          <w:szCs w:val="14"/>
        </w:rPr>
        <w:t>         </w:t>
      </w:r>
      <w:r w:rsidRPr="00D215CB">
        <w:rPr>
          <w:rFonts w:ascii="Segoe UI" w:eastAsia="Times New Roman" w:hAnsi="Segoe UI" w:cs="Segoe UI"/>
          <w:color w:val="636363"/>
          <w:sz w:val="20"/>
          <w:szCs w:val="20"/>
        </w:rPr>
        <w:t>Draft and negotiate IP-related agreements</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w:t>
      </w:r>
      <w:r w:rsidRPr="00D215CB">
        <w:rPr>
          <w:rFonts w:ascii="Times New Roman" w:eastAsia="Times New Roman" w:hAnsi="Times New Roman" w:cs="Times New Roman"/>
          <w:color w:val="636363"/>
          <w:sz w:val="14"/>
          <w:szCs w:val="14"/>
        </w:rPr>
        <w:t>         </w:t>
      </w:r>
      <w:r w:rsidRPr="00D215CB">
        <w:rPr>
          <w:rFonts w:ascii="Segoe UI" w:eastAsia="Times New Roman" w:hAnsi="Segoe UI" w:cs="Segoe UI"/>
          <w:color w:val="636363"/>
          <w:sz w:val="20"/>
          <w:szCs w:val="20"/>
        </w:rPr>
        <w:t>Manage freedom to practice</w:t>
      </w:r>
      <w:r w:rsidRPr="00D215CB">
        <w:rPr>
          <w:rFonts w:ascii="HoneywellSansTT-Book" w:eastAsia="Times New Roman" w:hAnsi="HoneywellSansTT-Book" w:cs="Segoe UI"/>
          <w:color w:val="636363"/>
          <w:sz w:val="24"/>
          <w:szCs w:val="24"/>
        </w:rPr>
        <w:t> </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w:t>
      </w:r>
      <w:r w:rsidRPr="00D215CB">
        <w:rPr>
          <w:rFonts w:ascii="Times New Roman" w:eastAsia="Times New Roman" w:hAnsi="Times New Roman" w:cs="Times New Roman"/>
          <w:color w:val="636363"/>
          <w:sz w:val="14"/>
          <w:szCs w:val="14"/>
        </w:rPr>
        <w:t>         </w:t>
      </w:r>
      <w:r w:rsidRPr="00D215CB">
        <w:rPr>
          <w:rFonts w:ascii="Segoe UI" w:eastAsia="Times New Roman" w:hAnsi="Segoe UI" w:cs="Segoe UI"/>
          <w:color w:val="636363"/>
          <w:sz w:val="20"/>
          <w:szCs w:val="20"/>
        </w:rPr>
        <w:t>Drive technology licensing and patent enforcement</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w:t>
      </w:r>
      <w:r w:rsidRPr="00D215CB">
        <w:rPr>
          <w:rFonts w:ascii="Times New Roman" w:eastAsia="Times New Roman" w:hAnsi="Times New Roman" w:cs="Times New Roman"/>
          <w:color w:val="636363"/>
          <w:sz w:val="14"/>
          <w:szCs w:val="14"/>
        </w:rPr>
        <w:t>         </w:t>
      </w:r>
      <w:r w:rsidRPr="00D215CB">
        <w:rPr>
          <w:rFonts w:ascii="Segoe UI" w:eastAsia="Times New Roman" w:hAnsi="Segoe UI" w:cs="Segoe UI"/>
          <w:color w:val="636363"/>
          <w:sz w:val="20"/>
          <w:szCs w:val="20"/>
        </w:rPr>
        <w:t>Educate management and staff regarding intellectual property protection</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ld" w:eastAsia="Times New Roman" w:hAnsi="HoneywellSansTT-Bold" w:cs="Times New Roman"/>
          <w:color w:val="000000"/>
          <w:sz w:val="30"/>
          <w:szCs w:val="30"/>
        </w:rPr>
        <w:t>YOU MUST HAVE</w:t>
      </w:r>
    </w:p>
    <w:p w:rsidR="00D215CB" w:rsidRPr="00D215CB" w:rsidRDefault="00D215CB" w:rsidP="00D215C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ld" w:eastAsia="Times New Roman" w:hAnsi="HoneywellSansTT-Bold" w:cs="Times New Roman"/>
          <w:color w:val="000000"/>
          <w:sz w:val="30"/>
          <w:szCs w:val="30"/>
        </w:rPr>
        <w:t> </w:t>
      </w:r>
      <w:r w:rsidRPr="00D215CB">
        <w:rPr>
          <w:rFonts w:ascii="HoneywellSansTT-Book" w:eastAsia="Times New Roman" w:hAnsi="HoneywellSansTT-Book" w:cs="Times New Roman"/>
          <w:color w:val="636363"/>
          <w:sz w:val="24"/>
          <w:szCs w:val="24"/>
        </w:rPr>
        <w:t>BS degree in engineering; preferably electrical, mechanical, or computer science</w:t>
      </w:r>
    </w:p>
    <w:p w:rsidR="00D215CB" w:rsidRPr="00D215CB" w:rsidRDefault="00D215CB" w:rsidP="00D215C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JD degree, registered to practice before the USPTO</w:t>
      </w:r>
    </w:p>
    <w:p w:rsidR="00D215CB" w:rsidRPr="00D215CB" w:rsidRDefault="00D215CB" w:rsidP="00D215C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At least 4 years of practical experience in a major law firm and/or as in-house counsel</w:t>
      </w:r>
    </w:p>
    <w:p w:rsidR="00D215CB" w:rsidRPr="00D215CB" w:rsidRDefault="00D215CB" w:rsidP="00D215CB">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Experience in patent prosecution, IP transactions, and IP litigation</w:t>
      </w:r>
    </w:p>
    <w:p w:rsidR="00D215CB" w:rsidRPr="00D215CB" w:rsidRDefault="00D215CB" w:rsidP="00D215CB">
      <w:pPr>
        <w:shd w:val="clear" w:color="auto" w:fill="FFFFFF"/>
        <w:spacing w:after="150" w:line="480" w:lineRule="auto"/>
        <w:rPr>
          <w:rFonts w:ascii="HoneywellSansTT-Book" w:eastAsia="Times New Roman" w:hAnsi="HoneywellSansTT-Book" w:cs="Times New Roman"/>
          <w:color w:val="636363"/>
          <w:sz w:val="24"/>
          <w:szCs w:val="24"/>
        </w:rPr>
      </w:pPr>
      <w:r w:rsidRPr="00D215CB">
        <w:rPr>
          <w:rFonts w:ascii="HoneywellSansTT-Bold" w:eastAsia="Times New Roman" w:hAnsi="HoneywellSansTT-Bold" w:cs="Times New Roman"/>
          <w:color w:val="000000"/>
          <w:sz w:val="30"/>
          <w:szCs w:val="30"/>
        </w:rPr>
        <w:t>WE VALUE</w:t>
      </w:r>
    </w:p>
    <w:p w:rsidR="00D215CB" w:rsidRPr="00D215CB" w:rsidRDefault="00D215CB" w:rsidP="00D215C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Strong initiative</w:t>
      </w:r>
    </w:p>
    <w:p w:rsidR="00D215CB" w:rsidRPr="00D215CB" w:rsidRDefault="00D215CB" w:rsidP="00D215C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Strong negotiation skills with excellent business judgment; keen interest in learning new technologies</w:t>
      </w:r>
    </w:p>
    <w:p w:rsidR="00D215CB" w:rsidRPr="00D215CB" w:rsidRDefault="00D215CB" w:rsidP="00D215C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Excellent skills in management and problem-solving</w:t>
      </w:r>
    </w:p>
    <w:p w:rsidR="00D215CB" w:rsidRPr="00D215CB" w:rsidRDefault="00D215CB" w:rsidP="00D215C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Ability to work independently and directly with senior business Leadership</w:t>
      </w:r>
    </w:p>
    <w:p w:rsidR="00D215CB" w:rsidRPr="00D215CB" w:rsidRDefault="00D215CB" w:rsidP="00D215C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Ability to influence at varying levels of the organization</w:t>
      </w:r>
    </w:p>
    <w:p w:rsidR="00D215CB" w:rsidRPr="00D215CB" w:rsidRDefault="00D215CB" w:rsidP="00D215C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Convey information with clarity across diverse global teams</w:t>
      </w:r>
    </w:p>
    <w:p w:rsidR="00D215CB" w:rsidRPr="00D215CB" w:rsidRDefault="00D215CB" w:rsidP="00D215CB">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Consistently make complex, timely decisions</w:t>
      </w:r>
    </w:p>
    <w:p w:rsidR="00D215CB" w:rsidRPr="00D215CB" w:rsidRDefault="00D215CB" w:rsidP="00D215CB">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D215CB">
        <w:rPr>
          <w:rFonts w:ascii="HoneywellSansTT-Bold" w:eastAsia="Times New Roman" w:hAnsi="HoneywellSansTT-Bold" w:cs="Times New Roman"/>
          <w:b/>
          <w:bCs/>
          <w:color w:val="000000"/>
          <w:sz w:val="27"/>
          <w:szCs w:val="27"/>
        </w:rPr>
        <w:t>Additional Information</w:t>
      </w:r>
    </w:p>
    <w:p w:rsidR="00D215CB" w:rsidRPr="00D215CB" w:rsidRDefault="00D215CB" w:rsidP="00D215CB">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215CB">
        <w:rPr>
          <w:rFonts w:ascii="inherit" w:eastAsia="Times New Roman" w:hAnsi="inherit" w:cs="Times New Roman"/>
          <w:b/>
          <w:bCs/>
          <w:color w:val="636363"/>
          <w:sz w:val="24"/>
          <w:szCs w:val="24"/>
        </w:rPr>
        <w:lastRenderedPageBreak/>
        <w:t>JOB ID: </w:t>
      </w:r>
      <w:r w:rsidRPr="00D215CB">
        <w:rPr>
          <w:rFonts w:ascii="HoneywellSansTT-Book" w:eastAsia="Times New Roman" w:hAnsi="HoneywellSansTT-Book" w:cs="Times New Roman"/>
          <w:color w:val="636363"/>
          <w:sz w:val="24"/>
          <w:szCs w:val="24"/>
        </w:rPr>
        <w:t>HRD112721</w:t>
      </w:r>
    </w:p>
    <w:p w:rsidR="00D215CB" w:rsidRPr="00D215CB" w:rsidRDefault="00D215CB" w:rsidP="00D215CB">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215CB">
        <w:rPr>
          <w:rFonts w:ascii="inherit" w:eastAsia="Times New Roman" w:hAnsi="inherit" w:cs="Times New Roman"/>
          <w:b/>
          <w:bCs/>
          <w:color w:val="636363"/>
          <w:sz w:val="24"/>
          <w:szCs w:val="24"/>
        </w:rPr>
        <w:t>Category: </w:t>
      </w:r>
      <w:r w:rsidRPr="00D215CB">
        <w:rPr>
          <w:rFonts w:ascii="HoneywellSansTT-Book" w:eastAsia="Times New Roman" w:hAnsi="HoneywellSansTT-Book" w:cs="Times New Roman"/>
          <w:color w:val="636363"/>
          <w:sz w:val="24"/>
          <w:szCs w:val="24"/>
        </w:rPr>
        <w:t>Legal</w:t>
      </w:r>
    </w:p>
    <w:p w:rsidR="00D215CB" w:rsidRPr="00D215CB" w:rsidRDefault="00D215CB" w:rsidP="00D215CB">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215CB">
        <w:rPr>
          <w:rFonts w:ascii="inherit" w:eastAsia="Times New Roman" w:hAnsi="inherit" w:cs="Times New Roman"/>
          <w:b/>
          <w:bCs/>
          <w:color w:val="636363"/>
          <w:sz w:val="24"/>
          <w:szCs w:val="24"/>
        </w:rPr>
        <w:t>Location: </w:t>
      </w:r>
      <w:r w:rsidRPr="00D215CB">
        <w:rPr>
          <w:rFonts w:ascii="HoneywellSansTT-Book" w:eastAsia="Times New Roman" w:hAnsi="HoneywellSansTT-Book" w:cs="Times New Roman"/>
          <w:color w:val="636363"/>
          <w:sz w:val="24"/>
          <w:szCs w:val="24"/>
        </w:rPr>
        <w:t>715 Peachtree Street, N.E.,Atlanta,Georgia,30308,United States</w:t>
      </w:r>
    </w:p>
    <w:p w:rsidR="00D215CB" w:rsidRPr="00D215CB" w:rsidRDefault="00D215CB" w:rsidP="00D215CB">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215CB">
        <w:rPr>
          <w:rFonts w:ascii="HoneywellSansTT-Book" w:eastAsia="Times New Roman" w:hAnsi="HoneywellSansTT-Book" w:cs="Times New Roman"/>
          <w:color w:val="636363"/>
          <w:sz w:val="24"/>
          <w:szCs w:val="24"/>
        </w:rPr>
        <w:t>Exempt</w:t>
      </w:r>
    </w:p>
    <w:p w:rsidR="007E5964" w:rsidRDefault="007E5964">
      <w:bookmarkStart w:id="0" w:name="_GoBack"/>
      <w:bookmarkEnd w:id="0"/>
    </w:p>
    <w:sectPr w:rsidR="007E5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E5511"/>
    <w:multiLevelType w:val="multilevel"/>
    <w:tmpl w:val="4424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AC78C6"/>
    <w:multiLevelType w:val="multilevel"/>
    <w:tmpl w:val="203E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5A08D7"/>
    <w:multiLevelType w:val="multilevel"/>
    <w:tmpl w:val="BFD2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CB"/>
    <w:rsid w:val="007E5964"/>
    <w:rsid w:val="00D21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96DC7-A966-4FBC-8D7F-456C5B40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215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15CB"/>
    <w:rPr>
      <w:rFonts w:ascii="Times New Roman" w:eastAsia="Times New Roman" w:hAnsi="Times New Roman" w:cs="Times New Roman"/>
      <w:b/>
      <w:bCs/>
      <w:sz w:val="27"/>
      <w:szCs w:val="27"/>
    </w:rPr>
  </w:style>
  <w:style w:type="paragraph" w:customStyle="1" w:styleId="default">
    <w:name w:val="default"/>
    <w:basedOn w:val="Normal"/>
    <w:rsid w:val="00D215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215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1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1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2021-02-08T19:59:00Z</dcterms:created>
  <dcterms:modified xsi:type="dcterms:W3CDTF">2021-02-08T20:00:00Z</dcterms:modified>
</cp:coreProperties>
</file>