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19" w:rsidRDefault="001A2319" w:rsidP="001A231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1A2319" w:rsidRDefault="001A2319" w:rsidP="001A23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>Compliance Officer</w:t>
      </w:r>
      <w:r w:rsidR="00495F61">
        <w:rPr>
          <w:rFonts w:ascii="Tms Rmn" w:hAnsi="Tms Rmn" w:cs="Tms Rmn"/>
          <w:b/>
          <w:bCs/>
          <w:color w:val="000000"/>
          <w:sz w:val="48"/>
          <w:szCs w:val="48"/>
        </w:rPr>
        <w:t xml:space="preserve"> and Risk Manager </w:t>
      </w:r>
    </w:p>
    <w:p w:rsidR="001A2319" w:rsidRDefault="001A2319" w:rsidP="001A23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36"/>
          <w:szCs w:val="36"/>
        </w:rPr>
      </w:pPr>
      <w:r>
        <w:rPr>
          <w:rFonts w:ascii="Tms Rmn" w:hAnsi="Tms Rmn" w:cs="Tms Rmn"/>
          <w:b/>
          <w:bCs/>
          <w:color w:val="000000"/>
          <w:sz w:val="36"/>
          <w:szCs w:val="36"/>
        </w:rPr>
        <w:t>Job description</w:t>
      </w:r>
    </w:p>
    <w:p w:rsidR="00495F61" w:rsidRDefault="00495F61" w:rsidP="001A2319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The Compliance Officer and Risk Manager </w:t>
      </w:r>
      <w:r w:rsidR="00A16714">
        <w:rPr>
          <w:rFonts w:ascii="Tms Rmn" w:hAnsi="Tms Rmn" w:cs="Tms Rmn"/>
          <w:color w:val="000000"/>
          <w:sz w:val="24"/>
          <w:szCs w:val="24"/>
        </w:rPr>
        <w:t xml:space="preserve">will be responsible for re-designing and implementing an overall compliance program and risk management </w:t>
      </w:r>
      <w:r w:rsidR="002E7C3B">
        <w:rPr>
          <w:rFonts w:ascii="Tms Rmn" w:hAnsi="Tms Rmn" w:cs="Tms Rmn"/>
          <w:color w:val="000000"/>
          <w:sz w:val="24"/>
          <w:szCs w:val="24"/>
        </w:rPr>
        <w:t xml:space="preserve">process for a commodity trading </w:t>
      </w:r>
      <w:r w:rsidR="004D601F">
        <w:rPr>
          <w:rFonts w:ascii="Tms Rmn" w:hAnsi="Tms Rmn" w:cs="Tms Rmn"/>
          <w:color w:val="000000"/>
          <w:sz w:val="24"/>
          <w:szCs w:val="24"/>
        </w:rPr>
        <w:t>organization.</w:t>
      </w:r>
    </w:p>
    <w:p w:rsidR="008951C8" w:rsidRDefault="008951C8" w:rsidP="001A2319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</w:t>
      </w:r>
      <w:r w:rsidR="001A2319">
        <w:rPr>
          <w:rFonts w:ascii="Tms Rmn" w:hAnsi="Tms Rmn" w:cs="Tms Rmn"/>
          <w:color w:val="000000"/>
          <w:sz w:val="24"/>
          <w:szCs w:val="24"/>
        </w:rPr>
        <w:t xml:space="preserve"> strong working knowledge of </w:t>
      </w:r>
      <w:r>
        <w:rPr>
          <w:rFonts w:ascii="Tms Rmn" w:hAnsi="Tms Rmn" w:cs="Tms Rmn"/>
          <w:color w:val="000000"/>
          <w:sz w:val="24"/>
          <w:szCs w:val="24"/>
        </w:rPr>
        <w:t>international</w:t>
      </w:r>
      <w:r w:rsidR="001A2319">
        <w:rPr>
          <w:rFonts w:ascii="Tms Rmn" w:hAnsi="Tms Rmn" w:cs="Tms Rmn"/>
          <w:color w:val="000000"/>
          <w:sz w:val="24"/>
          <w:szCs w:val="24"/>
        </w:rPr>
        <w:t xml:space="preserve"> regulatory guidelines and standards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4D601F">
        <w:rPr>
          <w:rFonts w:ascii="Tms Rmn" w:hAnsi="Tms Rmn" w:cs="Tms Rmn"/>
          <w:color w:val="000000"/>
          <w:sz w:val="24"/>
          <w:szCs w:val="24"/>
        </w:rPr>
        <w:t xml:space="preserve">related to chemical trading </w:t>
      </w:r>
      <w:r>
        <w:rPr>
          <w:rFonts w:ascii="Tms Rmn" w:hAnsi="Tms Rmn" w:cs="Tms Rmn"/>
          <w:color w:val="000000"/>
          <w:sz w:val="24"/>
          <w:szCs w:val="24"/>
        </w:rPr>
        <w:t>is required</w:t>
      </w:r>
      <w:r w:rsidR="001A2319">
        <w:rPr>
          <w:rFonts w:ascii="Tms Rmn" w:hAnsi="Tms Rmn" w:cs="Tms Rmn"/>
          <w:color w:val="000000"/>
          <w:sz w:val="24"/>
          <w:szCs w:val="24"/>
        </w:rPr>
        <w:t xml:space="preserve">. </w:t>
      </w:r>
      <w:r>
        <w:rPr>
          <w:rFonts w:ascii="Tms Rmn" w:hAnsi="Tms Rmn" w:cs="Tms Rmn"/>
          <w:color w:val="000000"/>
          <w:sz w:val="24"/>
          <w:szCs w:val="24"/>
        </w:rPr>
        <w:t xml:space="preserve"> Prior experience with chemicals required, and prior experience with international </w:t>
      </w:r>
      <w:r w:rsidR="00386F7C">
        <w:rPr>
          <w:rFonts w:ascii="Tms Rmn" w:hAnsi="Tms Rmn" w:cs="Tms Rmn"/>
          <w:color w:val="000000"/>
          <w:sz w:val="24"/>
          <w:szCs w:val="24"/>
        </w:rPr>
        <w:t>commodit</w:t>
      </w:r>
      <w:r w:rsidR="004E1E70">
        <w:rPr>
          <w:rFonts w:ascii="Tms Rmn" w:hAnsi="Tms Rmn" w:cs="Tms Rmn"/>
          <w:color w:val="000000"/>
          <w:sz w:val="24"/>
          <w:szCs w:val="24"/>
        </w:rPr>
        <w:t>y</w:t>
      </w:r>
      <w:r w:rsidR="00386F7C"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>trad</w:t>
      </w:r>
      <w:r w:rsidR="004E1E70">
        <w:rPr>
          <w:rFonts w:ascii="Tms Rmn" w:hAnsi="Tms Rmn" w:cs="Tms Rmn"/>
          <w:color w:val="000000"/>
          <w:sz w:val="24"/>
          <w:szCs w:val="24"/>
        </w:rPr>
        <w:t>ing</w:t>
      </w:r>
      <w:r>
        <w:rPr>
          <w:rFonts w:ascii="Tms Rmn" w:hAnsi="Tms Rmn" w:cs="Tms Rmn"/>
          <w:color w:val="000000"/>
          <w:sz w:val="24"/>
          <w:szCs w:val="24"/>
        </w:rPr>
        <w:t xml:space="preserve"> is strongly preferred.</w:t>
      </w:r>
      <w:r w:rsidR="004D601F">
        <w:rPr>
          <w:rFonts w:ascii="Tms Rmn" w:hAnsi="Tms Rmn" w:cs="Tms Rmn"/>
          <w:color w:val="000000"/>
          <w:sz w:val="24"/>
          <w:szCs w:val="24"/>
        </w:rPr>
        <w:t xml:space="preserve">  Position will also include developing, monitoring and enforcing company </w:t>
      </w:r>
      <w:r w:rsidR="000528A8">
        <w:rPr>
          <w:rFonts w:ascii="Tms Rmn" w:hAnsi="Tms Rmn" w:cs="Tms Rmn"/>
          <w:color w:val="000000"/>
          <w:sz w:val="24"/>
          <w:szCs w:val="24"/>
        </w:rPr>
        <w:t xml:space="preserve">trade </w:t>
      </w:r>
      <w:r w:rsidR="004D601F">
        <w:rPr>
          <w:rFonts w:ascii="Tms Rmn" w:hAnsi="Tms Rmn" w:cs="Tms Rmn"/>
          <w:color w:val="000000"/>
          <w:sz w:val="24"/>
          <w:szCs w:val="24"/>
        </w:rPr>
        <w:t>risk parameters in coordination with ownership, management, finance and legal, including position limits, tenor limits, location limits, loss limits, and balance sheet limits</w:t>
      </w:r>
      <w:r w:rsidR="00C22E61">
        <w:rPr>
          <w:rFonts w:ascii="Tms Rmn" w:hAnsi="Tms Rmn" w:cs="Tms Rmn"/>
          <w:color w:val="000000"/>
          <w:sz w:val="24"/>
          <w:szCs w:val="24"/>
        </w:rPr>
        <w:t>.</w:t>
      </w:r>
      <w:r>
        <w:rPr>
          <w:rFonts w:ascii="Tms Rmn" w:hAnsi="Tms Rmn" w:cs="Tms Rmn"/>
          <w:color w:val="000000"/>
          <w:sz w:val="24"/>
          <w:szCs w:val="24"/>
        </w:rPr>
        <w:t xml:space="preserve">  A minimum of five (5) years of relevant experience is required, and prior leadership experience is a plus. </w:t>
      </w:r>
    </w:p>
    <w:p w:rsidR="001A2319" w:rsidRDefault="001A2319" w:rsidP="001A2319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color w:val="000000"/>
          <w:sz w:val="36"/>
          <w:szCs w:val="36"/>
        </w:rPr>
      </w:pPr>
      <w:r>
        <w:rPr>
          <w:rFonts w:ascii="Tms Rmn" w:hAnsi="Tms Rmn" w:cs="Tms Rmn"/>
          <w:b/>
          <w:bCs/>
          <w:color w:val="000000"/>
          <w:sz w:val="36"/>
          <w:szCs w:val="36"/>
        </w:rPr>
        <w:t>Required Duties:</w:t>
      </w:r>
    </w:p>
    <w:p w:rsidR="004E1E70" w:rsidRDefault="004E1E70" w:rsidP="004E1E70">
      <w:pPr>
        <w:autoSpaceDE w:val="0"/>
        <w:autoSpaceDN w:val="0"/>
        <w:adjustRightInd w:val="0"/>
        <w:spacing w:after="0" w:line="240" w:lineRule="auto"/>
        <w:ind w:left="720"/>
        <w:rPr>
          <w:rFonts w:ascii="Tms Rmn" w:hAnsi="Tms Rmn" w:cs="Tms Rmn"/>
          <w:color w:val="000000"/>
          <w:sz w:val="24"/>
          <w:szCs w:val="24"/>
        </w:rPr>
      </w:pPr>
    </w:p>
    <w:p w:rsidR="001A2319" w:rsidRDefault="001A2319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Develop, implement and manag</w:t>
      </w:r>
      <w:r w:rsidR="00386F7C">
        <w:rPr>
          <w:rFonts w:ascii="Tms Rmn" w:hAnsi="Tms Rmn" w:cs="Tms Rmn"/>
          <w:color w:val="000000"/>
          <w:sz w:val="24"/>
          <w:szCs w:val="24"/>
        </w:rPr>
        <w:t>e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386F7C">
        <w:rPr>
          <w:rFonts w:ascii="Tms Rmn" w:hAnsi="Tms Rmn" w:cs="Tms Rmn"/>
          <w:color w:val="000000"/>
          <w:sz w:val="24"/>
          <w:szCs w:val="24"/>
        </w:rPr>
        <w:t>the</w:t>
      </w:r>
      <w:r>
        <w:rPr>
          <w:rFonts w:ascii="Tms Rmn" w:hAnsi="Tms Rmn" w:cs="Tms Rmn"/>
          <w:color w:val="000000"/>
          <w:sz w:val="24"/>
          <w:szCs w:val="24"/>
        </w:rPr>
        <w:t xml:space="preserve"> organization’s compliance program</w:t>
      </w:r>
      <w:r w:rsidR="008951C8">
        <w:rPr>
          <w:rFonts w:ascii="Tms Rmn" w:hAnsi="Tms Rmn" w:cs="Tms Rmn"/>
          <w:color w:val="000000"/>
          <w:sz w:val="24"/>
          <w:szCs w:val="24"/>
        </w:rPr>
        <w:t xml:space="preserve"> and overall risk management approach in close cooperation with ownership, the Board of Directors and senior executives</w:t>
      </w:r>
    </w:p>
    <w:p w:rsidR="008951C8" w:rsidRDefault="004C1822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Ongoing compliance monitoring and risk assessment based upon </w:t>
      </w:r>
      <w:r w:rsidR="00386F7C">
        <w:rPr>
          <w:rFonts w:ascii="Tms Rmn" w:hAnsi="Tms Rmn" w:cs="Tms Rmn"/>
          <w:color w:val="000000"/>
          <w:sz w:val="24"/>
          <w:szCs w:val="24"/>
        </w:rPr>
        <w:t>changing business conditio</w:t>
      </w:r>
      <w:bookmarkStart w:id="0" w:name="_GoBack"/>
      <w:bookmarkEnd w:id="0"/>
      <w:r w:rsidR="00386F7C">
        <w:rPr>
          <w:rFonts w:ascii="Tms Rmn" w:hAnsi="Tms Rmn" w:cs="Tms Rmn"/>
          <w:color w:val="000000"/>
          <w:sz w:val="24"/>
          <w:szCs w:val="24"/>
        </w:rPr>
        <w:t>ns, customs and regulations</w:t>
      </w:r>
    </w:p>
    <w:p w:rsidR="001A2319" w:rsidRDefault="001A2319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Planning, implementing and overseeing risk-related programs</w:t>
      </w:r>
    </w:p>
    <w:p w:rsidR="001A2319" w:rsidRDefault="001A2319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Creating and coordinating proper </w:t>
      </w:r>
      <w:r w:rsidR="00386F7C">
        <w:rPr>
          <w:rFonts w:ascii="Tms Rmn" w:hAnsi="Tms Rmn" w:cs="Tms Rmn"/>
          <w:color w:val="000000"/>
          <w:sz w:val="24"/>
          <w:szCs w:val="24"/>
        </w:rPr>
        <w:t xml:space="preserve">monitoring and </w:t>
      </w:r>
      <w:r>
        <w:rPr>
          <w:rFonts w:ascii="Tms Rmn" w:hAnsi="Tms Rmn" w:cs="Tms Rmn"/>
          <w:color w:val="000000"/>
          <w:sz w:val="24"/>
          <w:szCs w:val="24"/>
        </w:rPr>
        <w:t>reporting channels for compliance issues</w:t>
      </w:r>
    </w:p>
    <w:p w:rsidR="001A2319" w:rsidRDefault="001A2319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Writing and distributing company compliance communications</w:t>
      </w:r>
    </w:p>
    <w:p w:rsidR="001A2319" w:rsidRDefault="008F5932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T</w:t>
      </w:r>
      <w:r w:rsidR="001A2319">
        <w:rPr>
          <w:rFonts w:ascii="Tms Rmn" w:hAnsi="Tms Rmn" w:cs="Tms Rmn"/>
          <w:color w:val="000000"/>
          <w:sz w:val="24"/>
          <w:szCs w:val="24"/>
        </w:rPr>
        <w:t>raining employees</w:t>
      </w:r>
      <w:r>
        <w:rPr>
          <w:rFonts w:ascii="Tms Rmn" w:hAnsi="Tms Rmn" w:cs="Tms Rmn"/>
          <w:color w:val="000000"/>
          <w:sz w:val="24"/>
          <w:szCs w:val="24"/>
        </w:rPr>
        <w:t xml:space="preserve"> on compliance obligations and risk management best practices</w:t>
      </w:r>
    </w:p>
    <w:p w:rsidR="004651EF" w:rsidRDefault="008F5932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Assisting the Finance Department in obtaining insurance</w:t>
      </w:r>
      <w:r w:rsidR="00057339">
        <w:rPr>
          <w:rFonts w:ascii="Tms Rmn" w:hAnsi="Tms Rmn" w:cs="Tms Rmn"/>
          <w:color w:val="000000"/>
          <w:sz w:val="24"/>
          <w:szCs w:val="24"/>
        </w:rPr>
        <w:t xml:space="preserve">, mitigating insurance risks and managing insurance losses </w:t>
      </w:r>
    </w:p>
    <w:p w:rsidR="008F5932" w:rsidRDefault="00057339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Regular risk reporting to the various stakeholders</w:t>
      </w:r>
    </w:p>
    <w:p w:rsidR="001A2319" w:rsidRDefault="001A2319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Ensure all business units are compliant with applicable </w:t>
      </w:r>
      <w:r w:rsidR="00057339">
        <w:rPr>
          <w:rFonts w:ascii="Tms Rmn" w:hAnsi="Tms Rmn" w:cs="Tms Rmn"/>
          <w:color w:val="000000"/>
          <w:sz w:val="24"/>
          <w:szCs w:val="24"/>
        </w:rPr>
        <w:t>t</w:t>
      </w:r>
      <w:r>
        <w:rPr>
          <w:rFonts w:ascii="Tms Rmn" w:hAnsi="Tms Rmn" w:cs="Tms Rmn"/>
          <w:color w:val="000000"/>
          <w:sz w:val="24"/>
          <w:szCs w:val="24"/>
        </w:rPr>
        <w:t xml:space="preserve">rade </w:t>
      </w:r>
      <w:r w:rsidR="00057339">
        <w:rPr>
          <w:rFonts w:ascii="Tms Rmn" w:hAnsi="Tms Rmn" w:cs="Tms Rmn"/>
          <w:color w:val="000000"/>
          <w:sz w:val="24"/>
          <w:szCs w:val="24"/>
        </w:rPr>
        <w:t>c</w:t>
      </w:r>
      <w:r>
        <w:rPr>
          <w:rFonts w:ascii="Tms Rmn" w:hAnsi="Tms Rmn" w:cs="Tms Rmn"/>
          <w:color w:val="000000"/>
          <w:sz w:val="24"/>
          <w:szCs w:val="24"/>
        </w:rPr>
        <w:t>ompliance regulations</w:t>
      </w:r>
      <w:r w:rsidR="00057339">
        <w:rPr>
          <w:rFonts w:ascii="Tms Rmn" w:hAnsi="Tms Rmn" w:cs="Tms Rmn"/>
          <w:color w:val="000000"/>
          <w:sz w:val="24"/>
          <w:szCs w:val="24"/>
        </w:rPr>
        <w:t>, including</w:t>
      </w:r>
      <w:r w:rsidR="00386F7C">
        <w:rPr>
          <w:rFonts w:ascii="Tms Rmn" w:hAnsi="Tms Rmn" w:cs="Tms Rmn"/>
          <w:color w:val="000000"/>
          <w:sz w:val="24"/>
          <w:szCs w:val="24"/>
        </w:rPr>
        <w:t xml:space="preserve"> OFAC sanctions, anti-boycott, REACH, TSCA, relevant customs regulati</w:t>
      </w:r>
      <w:r w:rsidR="00C22E61">
        <w:rPr>
          <w:rFonts w:ascii="Tms Rmn" w:hAnsi="Tms Rmn" w:cs="Tms Rmn"/>
          <w:color w:val="000000"/>
          <w:sz w:val="24"/>
          <w:szCs w:val="24"/>
        </w:rPr>
        <w:t>ons and supply chain security</w:t>
      </w:r>
    </w:p>
    <w:p w:rsidR="001A2319" w:rsidRDefault="00386F7C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4"/>
          <w:szCs w:val="24"/>
        </w:rPr>
        <w:t>Familiarity with SDSs and MSDSs</w:t>
      </w:r>
    </w:p>
    <w:p w:rsidR="002D49A0" w:rsidRPr="004E1E70" w:rsidRDefault="002D49A0" w:rsidP="001A2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4E1E70">
        <w:rPr>
          <w:rFonts w:ascii="Times New Roman" w:hAnsi="Times New Roman" w:cs="Times New Roman"/>
          <w:color w:val="000000"/>
          <w:sz w:val="24"/>
          <w:szCs w:val="24"/>
        </w:rPr>
        <w:t>Coordination with the Legal and Accounting Departments</w:t>
      </w:r>
    </w:p>
    <w:p w:rsidR="001A2319" w:rsidRDefault="001A2319" w:rsidP="001A23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D1EF6" w:rsidRDefault="005D1EF6" w:rsidP="004E1E70">
      <w:pPr>
        <w:autoSpaceDE w:val="0"/>
        <w:autoSpaceDN w:val="0"/>
        <w:adjustRightInd w:val="0"/>
        <w:spacing w:after="0" w:line="240" w:lineRule="auto"/>
      </w:pPr>
    </w:p>
    <w:sectPr w:rsidR="005D1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70965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19"/>
    <w:rsid w:val="000528A8"/>
    <w:rsid w:val="00057339"/>
    <w:rsid w:val="000A3DBF"/>
    <w:rsid w:val="001A2319"/>
    <w:rsid w:val="001B3CB3"/>
    <w:rsid w:val="002D49A0"/>
    <w:rsid w:val="002E7C3B"/>
    <w:rsid w:val="00386F7C"/>
    <w:rsid w:val="004651EF"/>
    <w:rsid w:val="00495F61"/>
    <w:rsid w:val="004C1822"/>
    <w:rsid w:val="004D601F"/>
    <w:rsid w:val="004E1E70"/>
    <w:rsid w:val="005D1EF6"/>
    <w:rsid w:val="00655E71"/>
    <w:rsid w:val="008951C8"/>
    <w:rsid w:val="008F5932"/>
    <w:rsid w:val="00A16714"/>
    <w:rsid w:val="00B90757"/>
    <w:rsid w:val="00C22E61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4B59"/>
  <w15:chartTrackingRefBased/>
  <w15:docId w15:val="{6823935E-327E-46BE-B199-DF6FF106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 Chemical Corporation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Musto</dc:creator>
  <cp:keywords/>
  <dc:description/>
  <cp:lastModifiedBy>Ryan McElduff</cp:lastModifiedBy>
  <cp:revision>5</cp:revision>
  <dcterms:created xsi:type="dcterms:W3CDTF">2020-11-25T01:49:00Z</dcterms:created>
  <dcterms:modified xsi:type="dcterms:W3CDTF">2021-01-21T22:28:00Z</dcterms:modified>
</cp:coreProperties>
</file>