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8E7D5" w14:textId="77777777" w:rsidR="007D3C50" w:rsidRDefault="007D3C50" w:rsidP="007D3C50">
      <w:pPr>
        <w:jc w:val="center"/>
        <w:rPr>
          <w:rFonts w:ascii="Arial Narrow" w:hAnsi="Arial Narrow"/>
          <w:color w:val="92D050"/>
        </w:rPr>
      </w:pPr>
      <w:r>
        <w:rPr>
          <w:noProof/>
        </w:rPr>
        <w:drawing>
          <wp:inline distT="0" distB="0" distL="0" distR="0" wp14:anchorId="67D24E1E" wp14:editId="3CCB3851">
            <wp:extent cx="6696075" cy="78058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1870" cy="83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2A8BA" w14:textId="77777777" w:rsidR="007D3C50" w:rsidRPr="0022367B" w:rsidRDefault="005B6930" w:rsidP="007D3C50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Trade</w:t>
      </w:r>
      <w:r w:rsidR="004C3080">
        <w:rPr>
          <w:rFonts w:ascii="Arial Narrow" w:hAnsi="Arial Narrow"/>
          <w:b/>
          <w:sz w:val="36"/>
          <w:szCs w:val="36"/>
        </w:rPr>
        <w:t xml:space="preserve"> Compliance</w:t>
      </w:r>
      <w:r w:rsidR="0022773E">
        <w:rPr>
          <w:rFonts w:ascii="Arial Narrow" w:hAnsi="Arial Narrow"/>
          <w:b/>
          <w:sz w:val="36"/>
          <w:szCs w:val="36"/>
        </w:rPr>
        <w:t xml:space="preserve"> Associate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420"/>
        <w:gridCol w:w="3505"/>
      </w:tblGrid>
      <w:tr w:rsidR="007D3C50" w14:paraId="6CB89384" w14:textId="77777777" w:rsidTr="001D6419">
        <w:tc>
          <w:tcPr>
            <w:tcW w:w="3865" w:type="dxa"/>
          </w:tcPr>
          <w:p w14:paraId="2FAFB2F3" w14:textId="77777777" w:rsidR="007D3C50" w:rsidRDefault="007D3C50" w:rsidP="007D3C50">
            <w:pPr>
              <w:rPr>
                <w:rFonts w:ascii="Arial Narrow" w:hAnsi="Arial Narrow"/>
                <w:color w:val="92D050"/>
              </w:rPr>
            </w:pPr>
            <w:r w:rsidRPr="00F619B1">
              <w:rPr>
                <w:rFonts w:ascii="Arial Narrow" w:hAnsi="Arial Narrow"/>
                <w:b/>
                <w:color w:val="000099"/>
                <w:sz w:val="24"/>
                <w:szCs w:val="26"/>
              </w:rPr>
              <w:t xml:space="preserve">Department: </w:t>
            </w:r>
            <w:r w:rsidR="009E33A0">
              <w:rPr>
                <w:rFonts w:ascii="Arial Narrow" w:hAnsi="Arial Narrow"/>
                <w:b/>
                <w:color w:val="000099"/>
                <w:sz w:val="24"/>
                <w:szCs w:val="26"/>
              </w:rPr>
              <w:t>Legal</w:t>
            </w:r>
          </w:p>
        </w:tc>
        <w:tc>
          <w:tcPr>
            <w:tcW w:w="3420" w:type="dxa"/>
          </w:tcPr>
          <w:p w14:paraId="0270E3C8" w14:textId="77777777" w:rsidR="007D3C50" w:rsidRDefault="007D3C50" w:rsidP="007D3C50">
            <w:pPr>
              <w:rPr>
                <w:rFonts w:ascii="Arial Narrow" w:hAnsi="Arial Narrow"/>
                <w:color w:val="92D050"/>
              </w:rPr>
            </w:pPr>
            <w:r w:rsidRPr="00F619B1">
              <w:rPr>
                <w:rFonts w:ascii="Arial Narrow" w:hAnsi="Arial Narrow"/>
                <w:b/>
                <w:color w:val="000099"/>
                <w:sz w:val="24"/>
                <w:szCs w:val="26"/>
              </w:rPr>
              <w:t xml:space="preserve">Reporting Manager: </w:t>
            </w:r>
            <w:r w:rsidR="009E33A0">
              <w:rPr>
                <w:rFonts w:ascii="Arial Narrow" w:hAnsi="Arial Narrow"/>
                <w:b/>
                <w:color w:val="000099"/>
                <w:sz w:val="24"/>
                <w:szCs w:val="26"/>
              </w:rPr>
              <w:t>Trade Compliance Manager</w:t>
            </w:r>
          </w:p>
        </w:tc>
        <w:tc>
          <w:tcPr>
            <w:tcW w:w="3505" w:type="dxa"/>
          </w:tcPr>
          <w:p w14:paraId="3FDF186B" w14:textId="77777777" w:rsidR="007D3C50" w:rsidRDefault="007D3C50" w:rsidP="007D3C50">
            <w:pPr>
              <w:rPr>
                <w:rFonts w:ascii="Arial Narrow" w:hAnsi="Arial Narrow"/>
                <w:color w:val="92D050"/>
              </w:rPr>
            </w:pPr>
            <w:r w:rsidRPr="00F619B1">
              <w:rPr>
                <w:rFonts w:ascii="Arial Narrow" w:hAnsi="Arial Narrow"/>
                <w:b/>
                <w:color w:val="000099"/>
                <w:sz w:val="24"/>
                <w:szCs w:val="26"/>
              </w:rPr>
              <w:t xml:space="preserve">Location: </w:t>
            </w:r>
            <w:r w:rsidR="004C3080">
              <w:rPr>
                <w:rFonts w:ascii="Arial Narrow" w:hAnsi="Arial Narrow"/>
                <w:b/>
                <w:color w:val="000099"/>
                <w:sz w:val="24"/>
                <w:szCs w:val="26"/>
              </w:rPr>
              <w:t>Durham, NC</w:t>
            </w:r>
          </w:p>
        </w:tc>
      </w:tr>
    </w:tbl>
    <w:p w14:paraId="00002D36" w14:textId="77777777" w:rsidR="004E2FD4" w:rsidRPr="00C4345B" w:rsidRDefault="007D3C50" w:rsidP="004E2FD4">
      <w:pPr>
        <w:pStyle w:val="InsideCell"/>
        <w:spacing w:line="276" w:lineRule="auto"/>
        <w:rPr>
          <w:color w:val="auto"/>
          <w:sz w:val="24"/>
          <w:szCs w:val="26"/>
        </w:rPr>
      </w:pPr>
      <w:r>
        <w:rPr>
          <w:color w:val="92D050"/>
        </w:rPr>
        <w:br/>
      </w:r>
      <w:r w:rsidR="004E2FD4" w:rsidRPr="0078267D">
        <w:rPr>
          <w:b/>
          <w:color w:val="auto"/>
          <w:sz w:val="24"/>
          <w:szCs w:val="26"/>
        </w:rPr>
        <w:t>Implus Footcare, LLC</w:t>
      </w:r>
      <w:r w:rsidR="004E2FD4" w:rsidRPr="0078267D">
        <w:rPr>
          <w:color w:val="auto"/>
          <w:sz w:val="24"/>
          <w:szCs w:val="26"/>
        </w:rPr>
        <w:t xml:space="preserve"> is an industry-leading global consumer packaged goods company with 20+ brands in fitness, outdoor, sporting goods and footcare product categories. </w:t>
      </w:r>
      <w:r w:rsidR="004E2FD4" w:rsidRPr="00FE42EF">
        <w:rPr>
          <w:b/>
          <w:color w:val="auto"/>
          <w:sz w:val="24"/>
          <w:szCs w:val="26"/>
        </w:rPr>
        <w:t>Implus</w:t>
      </w:r>
      <w:r w:rsidR="004E2FD4" w:rsidRPr="0078267D">
        <w:rPr>
          <w:color w:val="auto"/>
          <w:sz w:val="24"/>
          <w:szCs w:val="26"/>
        </w:rPr>
        <w:t xml:space="preserve"> is headquartered in Research Triangle Park in Durham, NC with locations in the United States, Australia, Canada, Europe, Hong Kong, and South Africa. Our brand family includes </w:t>
      </w:r>
      <w:proofErr w:type="spellStart"/>
      <w:r w:rsidR="004E2FD4" w:rsidRPr="0078267D">
        <w:rPr>
          <w:color w:val="auto"/>
          <w:sz w:val="24"/>
          <w:szCs w:val="26"/>
        </w:rPr>
        <w:t>Sof</w:t>
      </w:r>
      <w:proofErr w:type="spellEnd"/>
      <w:r w:rsidR="004E2FD4" w:rsidRPr="0078267D">
        <w:rPr>
          <w:color w:val="auto"/>
          <w:sz w:val="24"/>
          <w:szCs w:val="26"/>
        </w:rPr>
        <w:t xml:space="preserve"> Sole, Yaktrax, </w:t>
      </w:r>
      <w:proofErr w:type="spellStart"/>
      <w:r w:rsidR="004E2FD4" w:rsidRPr="0078267D">
        <w:rPr>
          <w:color w:val="auto"/>
          <w:sz w:val="24"/>
          <w:szCs w:val="26"/>
        </w:rPr>
        <w:t>apara</w:t>
      </w:r>
      <w:proofErr w:type="spellEnd"/>
      <w:r w:rsidR="004E2FD4" w:rsidRPr="0078267D">
        <w:rPr>
          <w:color w:val="auto"/>
          <w:sz w:val="24"/>
          <w:szCs w:val="26"/>
        </w:rPr>
        <w:t xml:space="preserve">, </w:t>
      </w:r>
      <w:proofErr w:type="spellStart"/>
      <w:r w:rsidR="004E2FD4" w:rsidRPr="0078267D">
        <w:rPr>
          <w:color w:val="auto"/>
          <w:sz w:val="24"/>
          <w:szCs w:val="26"/>
        </w:rPr>
        <w:t>airplus</w:t>
      </w:r>
      <w:proofErr w:type="spellEnd"/>
      <w:r w:rsidR="004E2FD4" w:rsidRPr="0078267D">
        <w:rPr>
          <w:color w:val="auto"/>
          <w:sz w:val="24"/>
          <w:szCs w:val="26"/>
        </w:rPr>
        <w:t xml:space="preserve">, Sneaker Balls, </w:t>
      </w:r>
      <w:proofErr w:type="spellStart"/>
      <w:r w:rsidR="004E2FD4" w:rsidRPr="0078267D">
        <w:rPr>
          <w:color w:val="auto"/>
          <w:sz w:val="24"/>
          <w:szCs w:val="26"/>
        </w:rPr>
        <w:t>Sof</w:t>
      </w:r>
      <w:proofErr w:type="spellEnd"/>
      <w:r w:rsidR="004E2FD4" w:rsidRPr="0078267D">
        <w:rPr>
          <w:color w:val="auto"/>
          <w:sz w:val="24"/>
          <w:szCs w:val="26"/>
        </w:rPr>
        <w:t xml:space="preserve"> Comfort, Little Hotties, Harbinger, </w:t>
      </w:r>
      <w:proofErr w:type="spellStart"/>
      <w:r w:rsidR="004E2FD4" w:rsidRPr="0078267D">
        <w:rPr>
          <w:color w:val="auto"/>
          <w:sz w:val="24"/>
          <w:szCs w:val="26"/>
        </w:rPr>
        <w:t>TriggerPoint</w:t>
      </w:r>
      <w:proofErr w:type="spellEnd"/>
      <w:r w:rsidR="004E2FD4" w:rsidRPr="0078267D">
        <w:rPr>
          <w:color w:val="auto"/>
          <w:sz w:val="24"/>
          <w:szCs w:val="26"/>
        </w:rPr>
        <w:t xml:space="preserve">, Perfect Fitness, </w:t>
      </w:r>
      <w:proofErr w:type="spellStart"/>
      <w:r w:rsidR="004E2FD4" w:rsidRPr="0078267D">
        <w:rPr>
          <w:color w:val="auto"/>
          <w:sz w:val="24"/>
          <w:szCs w:val="26"/>
        </w:rPr>
        <w:t>Balega</w:t>
      </w:r>
      <w:proofErr w:type="spellEnd"/>
      <w:r w:rsidR="004E2FD4" w:rsidRPr="0078267D">
        <w:rPr>
          <w:color w:val="auto"/>
          <w:sz w:val="24"/>
          <w:szCs w:val="26"/>
        </w:rPr>
        <w:t xml:space="preserve">, Penguin, DryGuy, </w:t>
      </w:r>
      <w:proofErr w:type="spellStart"/>
      <w:r w:rsidR="004E2FD4" w:rsidRPr="0078267D">
        <w:rPr>
          <w:color w:val="auto"/>
          <w:sz w:val="24"/>
          <w:szCs w:val="26"/>
        </w:rPr>
        <w:t>Spenco</w:t>
      </w:r>
      <w:proofErr w:type="spellEnd"/>
      <w:r w:rsidR="004E2FD4" w:rsidRPr="0078267D">
        <w:rPr>
          <w:color w:val="auto"/>
          <w:sz w:val="24"/>
          <w:szCs w:val="26"/>
        </w:rPr>
        <w:t xml:space="preserve">, Force Field, </w:t>
      </w:r>
      <w:proofErr w:type="spellStart"/>
      <w:r w:rsidR="004E2FD4" w:rsidRPr="0078267D">
        <w:rPr>
          <w:color w:val="auto"/>
          <w:sz w:val="24"/>
          <w:szCs w:val="26"/>
        </w:rPr>
        <w:t>FuelBelt</w:t>
      </w:r>
      <w:proofErr w:type="spellEnd"/>
      <w:r w:rsidR="004E2FD4" w:rsidRPr="0078267D">
        <w:rPr>
          <w:color w:val="auto"/>
          <w:sz w:val="24"/>
          <w:szCs w:val="26"/>
        </w:rPr>
        <w:t xml:space="preserve">, Stabil, SKLZ, and Rock Tape. From insoles, socks, and shoe care to fitness equipment and seasonal accessories, Implus' products are sold in over 75,000 retail locations across North </w:t>
      </w:r>
      <w:r w:rsidR="004E2FD4" w:rsidRPr="00C4345B">
        <w:rPr>
          <w:color w:val="auto"/>
          <w:sz w:val="24"/>
          <w:szCs w:val="26"/>
        </w:rPr>
        <w:t>America and in over 70 countries worldwide.</w:t>
      </w:r>
    </w:p>
    <w:p w14:paraId="21D326A5" w14:textId="77777777" w:rsidR="007D3C50" w:rsidRPr="00C4345B" w:rsidRDefault="007D3C50" w:rsidP="007D3C50">
      <w:pPr>
        <w:pStyle w:val="InsideCell"/>
        <w:rPr>
          <w:b/>
          <w:color w:val="000099"/>
          <w:sz w:val="24"/>
          <w:szCs w:val="26"/>
        </w:rPr>
      </w:pPr>
      <w:r w:rsidRPr="00C4345B">
        <w:rPr>
          <w:color w:val="92D050"/>
        </w:rPr>
        <w:br/>
      </w:r>
      <w:r w:rsidRPr="00C4345B">
        <w:rPr>
          <w:b/>
          <w:color w:val="000099"/>
          <w:sz w:val="24"/>
          <w:szCs w:val="26"/>
        </w:rPr>
        <w:t>POSITION SUMMARY:</w:t>
      </w:r>
    </w:p>
    <w:p w14:paraId="3C7E39FF" w14:textId="15BB8C58" w:rsidR="007D3C50" w:rsidRPr="00C4345B" w:rsidRDefault="009A793C" w:rsidP="004C3080">
      <w:pPr>
        <w:pStyle w:val="InsideCell"/>
        <w:rPr>
          <w:sz w:val="24"/>
          <w:szCs w:val="26"/>
        </w:rPr>
      </w:pPr>
      <w:r w:rsidRPr="00C4345B">
        <w:rPr>
          <w:strike/>
          <w:sz w:val="24"/>
          <w:szCs w:val="26"/>
        </w:rPr>
        <w:t>A</w:t>
      </w:r>
      <w:r w:rsidR="004C3080" w:rsidRPr="00C4345B">
        <w:rPr>
          <w:sz w:val="24"/>
          <w:szCs w:val="26"/>
        </w:rPr>
        <w:t xml:space="preserve">ssist with developing, implementing, and maintaining import/export controls to ensure compliance with </w:t>
      </w:r>
      <w:r w:rsidR="00B16B47" w:rsidRPr="00C4345B">
        <w:rPr>
          <w:sz w:val="24"/>
          <w:szCs w:val="26"/>
        </w:rPr>
        <w:t xml:space="preserve">international hazardous materials shipping requirements, </w:t>
      </w:r>
      <w:r w:rsidR="004C3080" w:rsidRPr="00C4345B">
        <w:rPr>
          <w:sz w:val="24"/>
          <w:szCs w:val="26"/>
        </w:rPr>
        <w:t xml:space="preserve">U.S. trade laws and regulations such as the Export Administration Regulations (EAR), Office of Foreign Assets Control (OFAC) Regulations, U.S. </w:t>
      </w:r>
      <w:r w:rsidR="00B16B47" w:rsidRPr="00C4345B">
        <w:rPr>
          <w:sz w:val="24"/>
          <w:szCs w:val="26"/>
        </w:rPr>
        <w:t xml:space="preserve">and Canadian </w:t>
      </w:r>
      <w:r w:rsidR="004C3080" w:rsidRPr="00C4345B">
        <w:rPr>
          <w:sz w:val="24"/>
          <w:szCs w:val="26"/>
        </w:rPr>
        <w:t xml:space="preserve">Customs and Border Protection Regulations, and other regulatory requirements. </w:t>
      </w:r>
      <w:r w:rsidR="007D3C50" w:rsidRPr="00C4345B">
        <w:rPr>
          <w:sz w:val="24"/>
          <w:szCs w:val="2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D3C50" w:rsidRPr="00C4345B" w14:paraId="457B3F2B" w14:textId="77777777" w:rsidTr="00A07E46">
        <w:tc>
          <w:tcPr>
            <w:tcW w:w="10790" w:type="dxa"/>
            <w:shd w:val="clear" w:color="auto" w:fill="003399"/>
          </w:tcPr>
          <w:p w14:paraId="5183B9C9" w14:textId="77777777" w:rsidR="007D3C50" w:rsidRPr="00C4345B" w:rsidRDefault="007D3C50" w:rsidP="007D3C50">
            <w:pPr>
              <w:pStyle w:val="InsideCell"/>
              <w:rPr>
                <w:sz w:val="24"/>
                <w:szCs w:val="26"/>
              </w:rPr>
            </w:pPr>
            <w:r w:rsidRPr="00C4345B">
              <w:rPr>
                <w:b/>
                <w:color w:val="FFFFFF" w:themeColor="background1"/>
                <w:sz w:val="24"/>
              </w:rPr>
              <w:t>Primary Responsibilities:</w:t>
            </w:r>
            <w:r w:rsidRPr="00C4345B">
              <w:rPr>
                <w:b/>
                <w:color w:val="FFFFFF" w:themeColor="background1"/>
              </w:rPr>
              <w:tab/>
            </w:r>
          </w:p>
        </w:tc>
      </w:tr>
      <w:tr w:rsidR="007D3C50" w14:paraId="1E96BD0F" w14:textId="77777777" w:rsidTr="00A07E46">
        <w:tc>
          <w:tcPr>
            <w:tcW w:w="10790" w:type="dxa"/>
          </w:tcPr>
          <w:p w14:paraId="243324B9" w14:textId="7B49C61E" w:rsidR="00B16B47" w:rsidRPr="00C4345B" w:rsidRDefault="009A793C" w:rsidP="004C30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Co</w:t>
            </w:r>
            <w:r w:rsidR="00B16B47" w:rsidRPr="00C4345B">
              <w:rPr>
                <w:rFonts w:ascii="Arial Narrow" w:hAnsi="Arial Narrow"/>
                <w:sz w:val="24"/>
                <w:szCs w:val="24"/>
              </w:rPr>
              <w:t>mpany-wide certified resource on hazardous materials international shipping and labeling</w:t>
            </w:r>
          </w:p>
          <w:p w14:paraId="5914875A" w14:textId="6B3775AD" w:rsidR="00B16B47" w:rsidRPr="00C4345B" w:rsidRDefault="009A793C" w:rsidP="00B16B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C</w:t>
            </w:r>
            <w:r w:rsidR="004C3080" w:rsidRPr="00C4345B">
              <w:rPr>
                <w:rFonts w:ascii="Arial Narrow" w:hAnsi="Arial Narrow"/>
                <w:sz w:val="24"/>
                <w:szCs w:val="24"/>
              </w:rPr>
              <w:t>ompany-wide technical resource on export compliance issues including licensing, sanctions/embargoes, antiboycott, FCPA, restricted parties</w:t>
            </w:r>
            <w:r w:rsidR="00B16B47" w:rsidRPr="00C4345B">
              <w:rPr>
                <w:rFonts w:ascii="Arial Narrow" w:hAnsi="Arial Narrow"/>
                <w:sz w:val="24"/>
                <w:szCs w:val="24"/>
              </w:rPr>
              <w:t>.  Completes filing of Electronic Export Information in ACE.</w:t>
            </w:r>
          </w:p>
          <w:p w14:paraId="03995FBD" w14:textId="77777777" w:rsidR="004C3080" w:rsidRPr="00C4345B" w:rsidRDefault="00B16B47" w:rsidP="004C30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 xml:space="preserve">Primary resource for coordinating interface of broker systems with Customs/drawback software package and eventual ERP system connectivity. </w:t>
            </w:r>
          </w:p>
          <w:p w14:paraId="2DFA998C" w14:textId="77777777" w:rsidR="00B16B47" w:rsidRPr="00C4345B" w:rsidRDefault="00B16B47" w:rsidP="004C30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Manage drawback program</w:t>
            </w:r>
          </w:p>
          <w:p w14:paraId="01E15912" w14:textId="77777777" w:rsidR="004C3080" w:rsidRPr="00C4345B" w:rsidRDefault="004C3080" w:rsidP="004C30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Oversees and conducts denied party screening program</w:t>
            </w:r>
          </w:p>
          <w:p w14:paraId="3D22A669" w14:textId="7E5CE25F" w:rsidR="004C3080" w:rsidRPr="00C4345B" w:rsidRDefault="009A793C" w:rsidP="004C30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A t</w:t>
            </w:r>
            <w:r w:rsidR="004C3080" w:rsidRPr="00C4345B">
              <w:rPr>
                <w:rFonts w:ascii="Arial Narrow" w:hAnsi="Arial Narrow"/>
                <w:sz w:val="24"/>
                <w:szCs w:val="24"/>
              </w:rPr>
              <w:t>echnical resource on import compliance issues including classification, valuation, marking, preferential trade programs, country of origin, ADD/CVD, PGA (e.g., FDA and EPA) requirements</w:t>
            </w:r>
          </w:p>
          <w:p w14:paraId="7556DDB0" w14:textId="77777777" w:rsidR="004C3080" w:rsidRPr="00C4345B" w:rsidRDefault="004C3080" w:rsidP="004C30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Serves as primary technical resource on Canadian import compliance</w:t>
            </w:r>
          </w:p>
          <w:p w14:paraId="2083AE16" w14:textId="77777777" w:rsidR="004C3080" w:rsidRPr="00C4345B" w:rsidRDefault="004C3080" w:rsidP="004C30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 xml:space="preserve">Classifies products with proper harmonized tariff classification, ECCN, and country of origin to maintain database information </w:t>
            </w:r>
          </w:p>
          <w:p w14:paraId="76BA5349" w14:textId="77777777" w:rsidR="004C3080" w:rsidRPr="00C4345B" w:rsidRDefault="004C3080" w:rsidP="004C3080">
            <w:pPr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Interfaces with vendors/suppliers, customers, brokers, logistics partners, and internal departments to ensure accurate and complete import/export documentation</w:t>
            </w:r>
          </w:p>
          <w:p w14:paraId="651A1ACB" w14:textId="77777777" w:rsidR="004C3080" w:rsidRPr="00C4345B" w:rsidRDefault="004C3080" w:rsidP="004C3080">
            <w:pPr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Manages and maintains import/export records in accordance with U.S. Government regulations and Company policy</w:t>
            </w:r>
          </w:p>
          <w:p w14:paraId="3582C094" w14:textId="77777777" w:rsidR="004C3080" w:rsidRPr="00C4345B" w:rsidRDefault="004C3080" w:rsidP="004C30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 xml:space="preserve">Participates in the development of import/export compliance policies and procedures </w:t>
            </w:r>
          </w:p>
          <w:p w14:paraId="7422B7A4" w14:textId="77777777" w:rsidR="004C3080" w:rsidRPr="00C4345B" w:rsidRDefault="004C3080" w:rsidP="004C3080">
            <w:pPr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Evaluates import/export compliance through internal audits, identifies areas of trade compliance risk, and provides recommendations to the Trade Compliance Manager</w:t>
            </w:r>
          </w:p>
          <w:p w14:paraId="72EC1286" w14:textId="77777777" w:rsidR="004C3080" w:rsidRPr="00C4345B" w:rsidRDefault="004C3080" w:rsidP="004C30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Identifies training needs and assists in the development of and provides training pertaining to trade requirements with guidance from the Trade Compliance Manager</w:t>
            </w:r>
          </w:p>
          <w:p w14:paraId="658F99EF" w14:textId="7C685801" w:rsidR="004C3080" w:rsidRPr="00C4345B" w:rsidRDefault="009A793C" w:rsidP="004C3080">
            <w:pPr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Assists with</w:t>
            </w:r>
            <w:r w:rsidR="004C3080" w:rsidRPr="00C4345B">
              <w:rPr>
                <w:rFonts w:ascii="Arial Narrow" w:hAnsi="Arial Narrow"/>
                <w:sz w:val="24"/>
                <w:szCs w:val="24"/>
              </w:rPr>
              <w:t xml:space="preserve"> investigations, external audits, and other compliance matters as </w:t>
            </w:r>
            <w:commentRangeStart w:id="0"/>
            <w:r w:rsidR="004C3080" w:rsidRPr="00C4345B">
              <w:rPr>
                <w:rFonts w:ascii="Arial Narrow" w:hAnsi="Arial Narrow"/>
                <w:sz w:val="24"/>
                <w:szCs w:val="24"/>
              </w:rPr>
              <w:t>directed</w:t>
            </w:r>
            <w:commentRangeEnd w:id="0"/>
            <w:r w:rsidR="00106C53" w:rsidRPr="00C4345B">
              <w:rPr>
                <w:rStyle w:val="CommentReference"/>
              </w:rPr>
              <w:commentReference w:id="0"/>
            </w:r>
          </w:p>
          <w:p w14:paraId="51115E62" w14:textId="77777777" w:rsidR="004C3080" w:rsidRPr="00C4345B" w:rsidRDefault="004C3080" w:rsidP="004C30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lastRenderedPageBreak/>
              <w:t xml:space="preserve">Monitors changes to laws and regulations and current events (domestic and international) to ensure up-to-date knowledge of import/export issues </w:t>
            </w:r>
          </w:p>
          <w:p w14:paraId="225EB968" w14:textId="77777777" w:rsidR="004C3080" w:rsidRPr="00C4345B" w:rsidRDefault="004C3080" w:rsidP="004C3080">
            <w:pPr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 w:rsidRPr="00C4345B">
              <w:rPr>
                <w:rFonts w:ascii="Arial Narrow" w:hAnsi="Arial Narrow"/>
                <w:sz w:val="24"/>
                <w:szCs w:val="24"/>
              </w:rPr>
              <w:t>Performs other assignments as requested or as business needs require</w:t>
            </w:r>
          </w:p>
          <w:p w14:paraId="26FBA286" w14:textId="11EEEB0A" w:rsidR="004E516E" w:rsidRPr="00C4345B" w:rsidRDefault="00C4345B" w:rsidP="004C3080">
            <w:pPr>
              <w:numPr>
                <w:ilvl w:val="0"/>
                <w:numId w:val="12"/>
              </w:numPr>
            </w:pPr>
            <w:r w:rsidRPr="00C4345B">
              <w:rPr>
                <w:rFonts w:ascii="Arial Narrow" w:hAnsi="Arial Narrow"/>
                <w:sz w:val="24"/>
                <w:szCs w:val="24"/>
              </w:rPr>
              <w:t xml:space="preserve">Assists with </w:t>
            </w:r>
            <w:r w:rsidR="004C3080" w:rsidRPr="00C4345B">
              <w:rPr>
                <w:rFonts w:ascii="Arial Narrow" w:hAnsi="Arial Narrow"/>
                <w:sz w:val="24"/>
                <w:szCs w:val="24"/>
              </w:rPr>
              <w:t xml:space="preserve">compliance with Free Trade Agreement programs, including </w:t>
            </w:r>
            <w:r w:rsidR="00113A29" w:rsidRPr="00C4345B">
              <w:rPr>
                <w:rFonts w:ascii="Arial Narrow" w:hAnsi="Arial Narrow"/>
                <w:sz w:val="24"/>
                <w:szCs w:val="24"/>
              </w:rPr>
              <w:t>USMCA</w:t>
            </w:r>
            <w:r w:rsidR="004C3080" w:rsidRPr="00C4345B">
              <w:rPr>
                <w:rFonts w:ascii="Arial Narrow" w:hAnsi="Arial Narrow"/>
                <w:sz w:val="24"/>
                <w:szCs w:val="24"/>
              </w:rPr>
              <w:t xml:space="preserve">, AUSFTA and </w:t>
            </w:r>
            <w:commentRangeStart w:id="1"/>
            <w:r w:rsidR="004C3080" w:rsidRPr="00C4345B">
              <w:rPr>
                <w:rFonts w:ascii="Arial Narrow" w:hAnsi="Arial Narrow"/>
                <w:sz w:val="24"/>
                <w:szCs w:val="24"/>
              </w:rPr>
              <w:t>CPTPP</w:t>
            </w:r>
            <w:commentRangeEnd w:id="1"/>
            <w:r w:rsidR="00124A82" w:rsidRPr="00C4345B">
              <w:rPr>
                <w:rStyle w:val="CommentReference"/>
              </w:rPr>
              <w:commentReference w:id="1"/>
            </w:r>
            <w:r w:rsidR="004C3080" w:rsidRPr="00C4345B">
              <w:rPr>
                <w:rFonts w:ascii="Arial Narrow" w:hAnsi="Arial Narrow"/>
                <w:sz w:val="24"/>
                <w:szCs w:val="24"/>
              </w:rPr>
              <w:t>.</w:t>
            </w:r>
            <w:r w:rsidR="004C3080" w:rsidRPr="00C4345B">
              <w:t xml:space="preserve"> </w:t>
            </w:r>
          </w:p>
        </w:tc>
      </w:tr>
      <w:tr w:rsidR="00DA3822" w14:paraId="7867E506" w14:textId="77777777" w:rsidTr="00E06662">
        <w:tc>
          <w:tcPr>
            <w:tcW w:w="10790" w:type="dxa"/>
            <w:shd w:val="clear" w:color="auto" w:fill="003399"/>
          </w:tcPr>
          <w:p w14:paraId="17DF9BC7" w14:textId="77777777" w:rsidR="00DA3822" w:rsidRPr="007D3C50" w:rsidRDefault="00DA3822" w:rsidP="00E06662">
            <w:pPr>
              <w:spacing w:before="100" w:beforeAutospacing="1" w:after="100" w:afterAutospacing="1" w:line="276" w:lineRule="auto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DA3822"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</w:rPr>
              <w:lastRenderedPageBreak/>
              <w:t xml:space="preserve">Key </w:t>
            </w:r>
            <w:r w:rsidR="00715330"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</w:rPr>
              <w:t>Skills</w:t>
            </w:r>
            <w:r w:rsidRPr="00DA3822">
              <w:rPr>
                <w:rFonts w:ascii="Arial Narrow" w:eastAsia="Times New Roman" w:hAnsi="Arial Narrow" w:cs="Arial"/>
                <w:b/>
                <w:color w:val="FFFFFF" w:themeColor="background1"/>
                <w:sz w:val="24"/>
              </w:rPr>
              <w:t>:</w:t>
            </w:r>
          </w:p>
        </w:tc>
      </w:tr>
      <w:tr w:rsidR="00DA3822" w14:paraId="7A5CF941" w14:textId="77777777" w:rsidTr="00E06662">
        <w:tc>
          <w:tcPr>
            <w:tcW w:w="10790" w:type="dxa"/>
            <w:shd w:val="clear" w:color="auto" w:fill="FFFFFF" w:themeFill="background1"/>
          </w:tcPr>
          <w:p w14:paraId="44CA1F2D" w14:textId="77777777" w:rsidR="00113A29" w:rsidRDefault="00113A29" w:rsidP="002A1330">
            <w:pPr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Certified or experienced in hazardous materials shipping and systems</w:t>
            </w:r>
          </w:p>
          <w:p w14:paraId="191ACEE7" w14:textId="77777777" w:rsidR="002A1330" w:rsidRPr="002A1330" w:rsidRDefault="006473A2" w:rsidP="002A1330">
            <w:pPr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Experience with customs export and import documentations. </w:t>
            </w:r>
          </w:p>
          <w:p w14:paraId="34802752" w14:textId="77777777" w:rsidR="009B5C25" w:rsidRPr="00A5396E" w:rsidRDefault="009B5C25" w:rsidP="002A1330">
            <w:pPr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>Thorough knowledge and experience with HTSUS and customs valuation methodologies</w:t>
            </w:r>
          </w:p>
          <w:p w14:paraId="33713F7E" w14:textId="77777777" w:rsidR="009B5C25" w:rsidRDefault="009B5C25" w:rsidP="002A1330">
            <w:pPr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 xml:space="preserve">Experience with Trade Preference Programs and Free Trade Agreements </w:t>
            </w:r>
          </w:p>
          <w:p w14:paraId="1A9DA249" w14:textId="77777777" w:rsidR="002A1330" w:rsidRPr="002A1330" w:rsidRDefault="002A1330" w:rsidP="002A1330">
            <w:pPr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 xml:space="preserve">Experience working with customs brokerage </w:t>
            </w:r>
          </w:p>
          <w:p w14:paraId="2C67985F" w14:textId="77777777" w:rsidR="009B5C25" w:rsidRPr="00A5396E" w:rsidRDefault="009B5C25" w:rsidP="002A1330">
            <w:pPr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>Excellent communication, organizational, and project management skills with the ability to interface with all levels of management </w:t>
            </w:r>
          </w:p>
          <w:p w14:paraId="1D4D43CA" w14:textId="77777777" w:rsidR="009B5C25" w:rsidRPr="00A5396E" w:rsidRDefault="009B5C25" w:rsidP="002A1330">
            <w:pPr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>Demonstrates the ability to analyze and solve complex problems</w:t>
            </w:r>
          </w:p>
          <w:p w14:paraId="382E569A" w14:textId="77777777" w:rsidR="009B5C25" w:rsidRPr="00A5396E" w:rsidRDefault="009B5C25" w:rsidP="002A1330">
            <w:pPr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>Works independently with minimum supervision </w:t>
            </w:r>
          </w:p>
          <w:p w14:paraId="64BD30F4" w14:textId="77777777" w:rsidR="009B5C25" w:rsidRPr="00A5396E" w:rsidRDefault="009B5C25" w:rsidP="002A1330">
            <w:pPr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>Advanced computer skills to include Microsoft Word, Excel, PowerPoint, and Outlook </w:t>
            </w:r>
          </w:p>
          <w:p w14:paraId="490BE6C5" w14:textId="77777777" w:rsidR="004E516E" w:rsidRDefault="009B5C25" w:rsidP="002A1330">
            <w:pPr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>Interpreting written regulations/policies</w:t>
            </w:r>
          </w:p>
          <w:p w14:paraId="68A0DD25" w14:textId="77777777" w:rsidR="00113A29" w:rsidRPr="00A5396E" w:rsidRDefault="00113A29" w:rsidP="002A1330">
            <w:pPr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Licensed Customs broker or Certified Customs Specialist or Certifies Export Specialist (NCBFAA) preferred</w:t>
            </w:r>
          </w:p>
          <w:p w14:paraId="7E50BC83" w14:textId="77777777" w:rsidR="00715330" w:rsidRPr="00715330" w:rsidRDefault="00715330" w:rsidP="00715330">
            <w:pPr>
              <w:textAlignment w:val="baseline"/>
              <w:rPr>
                <w:rFonts w:ascii="Arial Narrow" w:eastAsia="Times New Roman" w:hAnsi="Arial Narrow"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A07E46" w14:paraId="4DE4699B" w14:textId="77777777" w:rsidTr="00A07E46">
        <w:tc>
          <w:tcPr>
            <w:tcW w:w="10790" w:type="dxa"/>
            <w:shd w:val="clear" w:color="auto" w:fill="003399"/>
          </w:tcPr>
          <w:p w14:paraId="5BD322A1" w14:textId="77777777" w:rsidR="00A07E46" w:rsidRPr="00A07E46" w:rsidRDefault="00715330" w:rsidP="00A07E46">
            <w:pPr>
              <w:spacing w:before="100" w:beforeAutospacing="1" w:after="100" w:afterAutospacing="1" w:line="276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</w:rPr>
              <w:t>Desired Skills and Experience</w:t>
            </w:r>
            <w:r w:rsidR="00A07E46" w:rsidRPr="00A07E46">
              <w:rPr>
                <w:rFonts w:ascii="Arial Narrow" w:hAnsi="Arial Narrow"/>
                <w:b/>
              </w:rPr>
              <w:t>:</w:t>
            </w:r>
            <w:r w:rsidR="00A07E46" w:rsidRPr="00A07E46">
              <w:rPr>
                <w:rFonts w:ascii="Arial Narrow" w:hAnsi="Arial Narrow"/>
                <w:b/>
              </w:rPr>
              <w:tab/>
            </w:r>
          </w:p>
        </w:tc>
      </w:tr>
      <w:tr w:rsidR="00A07E46" w:rsidRPr="00054A6E" w14:paraId="164CB051" w14:textId="77777777" w:rsidTr="00A07E46">
        <w:trPr>
          <w:trHeight w:val="20"/>
        </w:trPr>
        <w:tc>
          <w:tcPr>
            <w:tcW w:w="10790" w:type="dxa"/>
          </w:tcPr>
          <w:p w14:paraId="4EB44775" w14:textId="77777777" w:rsidR="002A1330" w:rsidRPr="002A1330" w:rsidRDefault="009B5C25" w:rsidP="002A133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>Focused Assessment and/or ISA experience </w:t>
            </w:r>
          </w:p>
          <w:p w14:paraId="75263FC6" w14:textId="77777777" w:rsidR="009B5C25" w:rsidRPr="00A5396E" w:rsidRDefault="009B5C25" w:rsidP="009B5C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 xml:space="preserve">Experience with Canada </w:t>
            </w:r>
            <w:r w:rsidR="002A1330">
              <w:rPr>
                <w:rFonts w:ascii="Arial Narrow" w:hAnsi="Arial Narrow"/>
                <w:sz w:val="24"/>
                <w:szCs w:val="24"/>
              </w:rPr>
              <w:t xml:space="preserve">customs </w:t>
            </w:r>
            <w:r w:rsidRPr="00A5396E">
              <w:rPr>
                <w:rFonts w:ascii="Arial Narrow" w:hAnsi="Arial Narrow"/>
                <w:sz w:val="24"/>
                <w:szCs w:val="24"/>
              </w:rPr>
              <w:t xml:space="preserve">import compliance, including tariff classification </w:t>
            </w:r>
            <w:r w:rsidR="002A1330">
              <w:rPr>
                <w:rFonts w:ascii="Arial Narrow" w:hAnsi="Arial Narrow"/>
                <w:sz w:val="24"/>
                <w:szCs w:val="24"/>
              </w:rPr>
              <w:t xml:space="preserve">is preferred </w:t>
            </w:r>
          </w:p>
          <w:p w14:paraId="57697AD3" w14:textId="77777777" w:rsidR="009B5C25" w:rsidRPr="00A5396E" w:rsidRDefault="009B5C25" w:rsidP="009B5C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>Experience with EAR and OFAC export compliance programs</w:t>
            </w:r>
          </w:p>
          <w:p w14:paraId="0499E013" w14:textId="77777777" w:rsidR="00B65A33" w:rsidRDefault="009B5C25" w:rsidP="002A1330">
            <w:pPr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 w:rsidRPr="00A5396E">
              <w:rPr>
                <w:rFonts w:ascii="Arial Narrow" w:hAnsi="Arial Narrow"/>
                <w:sz w:val="24"/>
                <w:szCs w:val="24"/>
              </w:rPr>
              <w:t>Familiarity with automated accounting systems / processes</w:t>
            </w:r>
          </w:p>
          <w:p w14:paraId="1E35F034" w14:textId="77777777" w:rsidR="002A1330" w:rsidRPr="002A1330" w:rsidRDefault="002A1330" w:rsidP="002A1330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226A" w:rsidRPr="00054A6E" w14:paraId="160D9BD7" w14:textId="77777777" w:rsidTr="00A07E46">
        <w:trPr>
          <w:trHeight w:val="20"/>
        </w:trPr>
        <w:tc>
          <w:tcPr>
            <w:tcW w:w="10790" w:type="dxa"/>
            <w:shd w:val="clear" w:color="auto" w:fill="003399"/>
          </w:tcPr>
          <w:p w14:paraId="1714DA76" w14:textId="77777777" w:rsidR="0058226A" w:rsidRDefault="0058226A" w:rsidP="00A07E46">
            <w:pPr>
              <w:pStyle w:val="InsideCellHeader"/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Education and Certifications:</w:t>
            </w:r>
          </w:p>
        </w:tc>
      </w:tr>
      <w:tr w:rsidR="0058226A" w:rsidRPr="00054A6E" w14:paraId="262C5B09" w14:textId="77777777" w:rsidTr="0058226A">
        <w:trPr>
          <w:trHeight w:val="20"/>
        </w:trPr>
        <w:tc>
          <w:tcPr>
            <w:tcW w:w="10790" w:type="dxa"/>
            <w:shd w:val="clear" w:color="auto" w:fill="auto"/>
          </w:tcPr>
          <w:p w14:paraId="232038B6" w14:textId="77777777" w:rsidR="0058226A" w:rsidRPr="0058226A" w:rsidRDefault="0058226A" w:rsidP="00A07E46">
            <w:pPr>
              <w:pStyle w:val="InsideCellHeader"/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58226A">
              <w:rPr>
                <w:color w:val="auto"/>
                <w:sz w:val="24"/>
                <w:szCs w:val="24"/>
              </w:rPr>
              <w:t>A Bachelor’s degree in a related field of study</w:t>
            </w:r>
          </w:p>
        </w:tc>
      </w:tr>
      <w:tr w:rsidR="00A07E46" w:rsidRPr="00054A6E" w14:paraId="25EDF371" w14:textId="77777777" w:rsidTr="00A07E46">
        <w:trPr>
          <w:trHeight w:val="20"/>
        </w:trPr>
        <w:tc>
          <w:tcPr>
            <w:tcW w:w="10790" w:type="dxa"/>
            <w:shd w:val="clear" w:color="auto" w:fill="003399"/>
          </w:tcPr>
          <w:p w14:paraId="0EAD3599" w14:textId="77777777" w:rsidR="00A07E46" w:rsidRPr="00C4345B" w:rsidRDefault="00A07E46" w:rsidP="00A07E46">
            <w:pPr>
              <w:pStyle w:val="InsideCellHeader"/>
              <w:spacing w:line="276" w:lineRule="auto"/>
              <w:jc w:val="left"/>
              <w:rPr>
                <w:color w:val="auto"/>
              </w:rPr>
            </w:pPr>
            <w:r w:rsidRPr="00C4345B">
              <w:rPr>
                <w:b/>
              </w:rPr>
              <w:t>Minimum Physical and Environmental Requirements:</w:t>
            </w:r>
          </w:p>
        </w:tc>
      </w:tr>
      <w:tr w:rsidR="00A07E46" w:rsidRPr="00054A6E" w14:paraId="372750A6" w14:textId="77777777" w:rsidTr="00A07E46">
        <w:trPr>
          <w:trHeight w:val="20"/>
        </w:trPr>
        <w:tc>
          <w:tcPr>
            <w:tcW w:w="10790" w:type="dxa"/>
          </w:tcPr>
          <w:p w14:paraId="34A10D1E" w14:textId="29532684" w:rsidR="00A07E46" w:rsidRPr="00C4345B" w:rsidRDefault="00A07E46" w:rsidP="00A5396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 w:rsidRPr="00C4345B">
              <w:rPr>
                <w:rFonts w:ascii="Arial Narrow" w:hAnsi="Arial Narrow" w:cs="Calibri"/>
                <w:sz w:val="24"/>
                <w:szCs w:val="24"/>
              </w:rPr>
              <w:t>Abilit</w:t>
            </w:r>
            <w:r w:rsidR="009A793C" w:rsidRPr="00C4345B">
              <w:rPr>
                <w:rFonts w:ascii="Arial Narrow" w:hAnsi="Arial Narrow" w:cs="Calibri"/>
                <w:sz w:val="24"/>
                <w:szCs w:val="24"/>
              </w:rPr>
              <w:t xml:space="preserve">y to read reports, create presentations, use a computer system and any other specific duties that require </w:t>
            </w:r>
            <w:commentRangeStart w:id="3"/>
            <w:r w:rsidRPr="00C4345B">
              <w:rPr>
                <w:rFonts w:ascii="Arial Narrow" w:hAnsi="Arial Narrow" w:cs="Calibri"/>
                <w:sz w:val="24"/>
                <w:szCs w:val="24"/>
              </w:rPr>
              <w:t>close vision, peripheral vision, depth perception.</w:t>
            </w:r>
            <w:commentRangeEnd w:id="3"/>
            <w:r w:rsidR="00E327DF" w:rsidRPr="00C4345B">
              <w:rPr>
                <w:rStyle w:val="CommentReference"/>
                <w:rFonts w:asciiTheme="minorHAnsi" w:eastAsiaTheme="minorHAnsi" w:hAnsiTheme="minorHAnsi" w:cstheme="minorBidi"/>
              </w:rPr>
              <w:commentReference w:id="3"/>
            </w:r>
          </w:p>
          <w:p w14:paraId="2181144A" w14:textId="684C8204" w:rsidR="00A07E46" w:rsidRPr="00C4345B" w:rsidRDefault="009A793C" w:rsidP="00A5396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 w:rsidRPr="00C4345B">
              <w:rPr>
                <w:rFonts w:ascii="Arial Narrow" w:hAnsi="Arial Narrow" w:cs="Calibri"/>
                <w:sz w:val="24"/>
                <w:szCs w:val="24"/>
              </w:rPr>
              <w:t>Communicate with co-workers, vendors and students.</w:t>
            </w:r>
          </w:p>
          <w:p w14:paraId="6FF40CEF" w14:textId="77777777" w:rsidR="00A07E46" w:rsidRPr="00C4345B" w:rsidRDefault="00A07E46" w:rsidP="00A5396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 w:rsidRPr="00C4345B">
              <w:rPr>
                <w:rFonts w:ascii="Arial Narrow" w:hAnsi="Arial Narrow" w:cs="Calibri"/>
                <w:sz w:val="24"/>
                <w:szCs w:val="24"/>
              </w:rPr>
              <w:t xml:space="preserve">Dexterity, Grasping, </w:t>
            </w:r>
            <w:proofErr w:type="gramStart"/>
            <w:r w:rsidRPr="00C4345B">
              <w:rPr>
                <w:rFonts w:ascii="Arial Narrow" w:hAnsi="Arial Narrow" w:cs="Calibri"/>
                <w:sz w:val="24"/>
                <w:szCs w:val="24"/>
              </w:rPr>
              <w:t>Feeling</w:t>
            </w:r>
            <w:proofErr w:type="gramEnd"/>
            <w:r w:rsidRPr="00C4345B">
              <w:rPr>
                <w:rFonts w:ascii="Arial Narrow" w:hAnsi="Arial Narrow" w:cs="Calibri"/>
                <w:sz w:val="24"/>
                <w:szCs w:val="24"/>
              </w:rPr>
              <w:t>: Write, type and use the telephone, copier, and computer systems.</w:t>
            </w:r>
          </w:p>
          <w:p w14:paraId="00A1138E" w14:textId="77777777" w:rsidR="00A07E46" w:rsidRPr="00C4345B" w:rsidRDefault="00A07E46" w:rsidP="00A5396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 w:rsidRPr="00C4345B">
              <w:rPr>
                <w:rFonts w:ascii="Arial Narrow" w:hAnsi="Arial Narrow" w:cs="Calibri"/>
                <w:sz w:val="24"/>
                <w:szCs w:val="24"/>
              </w:rPr>
              <w:t>Mobility: Open files and operate office machines; move between departments and attend meetings across campus.</w:t>
            </w:r>
          </w:p>
          <w:p w14:paraId="3E77E343" w14:textId="77777777" w:rsidR="00A07E46" w:rsidRPr="00C4345B" w:rsidRDefault="00A07E46" w:rsidP="00A5396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 w:rsidRPr="00C4345B">
              <w:rPr>
                <w:rFonts w:ascii="Arial Narrow" w:hAnsi="Arial Narrow" w:cs="Calibri"/>
                <w:sz w:val="24"/>
                <w:szCs w:val="24"/>
              </w:rPr>
              <w:t>Talking: Frequently convey detailed or important instructions and ideas accurately, loudly, or quickly.</w:t>
            </w:r>
          </w:p>
          <w:p w14:paraId="42318527" w14:textId="77777777" w:rsidR="00A07E46" w:rsidRPr="00C4345B" w:rsidRDefault="00A07E46" w:rsidP="00A5396E">
            <w:pPr>
              <w:numPr>
                <w:ilvl w:val="0"/>
                <w:numId w:val="18"/>
              </w:numPr>
              <w:spacing w:line="276" w:lineRule="auto"/>
              <w:rPr>
                <w:rFonts w:ascii="Arial Narrow" w:hAnsi="Arial Narrow" w:cs="Calibri"/>
                <w:sz w:val="24"/>
                <w:szCs w:val="24"/>
              </w:rPr>
            </w:pPr>
            <w:r w:rsidRPr="00C4345B">
              <w:rPr>
                <w:rFonts w:ascii="Arial Narrow" w:hAnsi="Arial Narrow" w:cs="Calibri"/>
                <w:sz w:val="24"/>
                <w:szCs w:val="24"/>
              </w:rPr>
              <w:t xml:space="preserve">Predictable attendance on site </w:t>
            </w:r>
          </w:p>
          <w:p w14:paraId="00CDF560" w14:textId="77777777" w:rsidR="00A07E46" w:rsidRPr="00C4345B" w:rsidRDefault="00A07E46" w:rsidP="00A5396E">
            <w:pPr>
              <w:numPr>
                <w:ilvl w:val="0"/>
                <w:numId w:val="18"/>
              </w:numPr>
              <w:spacing w:line="276" w:lineRule="auto"/>
              <w:rPr>
                <w:rFonts w:ascii="Arial Narrow" w:hAnsi="Arial Narrow" w:cs="Calibri"/>
                <w:sz w:val="24"/>
                <w:szCs w:val="24"/>
              </w:rPr>
            </w:pPr>
            <w:r w:rsidRPr="00C4345B">
              <w:rPr>
                <w:rFonts w:ascii="Arial Narrow" w:hAnsi="Arial Narrow" w:cs="Calibri"/>
                <w:sz w:val="24"/>
                <w:szCs w:val="24"/>
              </w:rPr>
              <w:t>Using a standard computer keyboard and monitor</w:t>
            </w:r>
          </w:p>
          <w:p w14:paraId="784B0CEF" w14:textId="225A843C" w:rsidR="00A07E46" w:rsidRPr="00C4345B" w:rsidRDefault="009A793C" w:rsidP="00A5396E">
            <w:pPr>
              <w:numPr>
                <w:ilvl w:val="0"/>
                <w:numId w:val="18"/>
              </w:numPr>
              <w:spacing w:line="276" w:lineRule="auto"/>
              <w:rPr>
                <w:rFonts w:ascii="Arial Narrow" w:hAnsi="Arial Narrow" w:cs="Calibri"/>
                <w:sz w:val="24"/>
                <w:szCs w:val="24"/>
              </w:rPr>
            </w:pPr>
            <w:r w:rsidRPr="00C4345B">
              <w:rPr>
                <w:rFonts w:ascii="Arial Narrow" w:hAnsi="Arial Narrow" w:cs="Calibri"/>
                <w:sz w:val="24"/>
                <w:szCs w:val="24"/>
              </w:rPr>
              <w:t xml:space="preserve">Move items weighing up to </w:t>
            </w:r>
            <w:r w:rsidR="00A07E46" w:rsidRPr="00C4345B">
              <w:rPr>
                <w:rFonts w:ascii="Arial Narrow" w:hAnsi="Arial Narrow" w:cs="Calibri"/>
                <w:sz w:val="24"/>
                <w:szCs w:val="24"/>
              </w:rPr>
              <w:t xml:space="preserve">25 </w:t>
            </w:r>
            <w:r w:rsidRPr="00C4345B">
              <w:rPr>
                <w:rFonts w:ascii="Arial Narrow" w:hAnsi="Arial Narrow" w:cs="Calibri"/>
                <w:sz w:val="24"/>
                <w:szCs w:val="24"/>
              </w:rPr>
              <w:t>pounds</w:t>
            </w:r>
          </w:p>
          <w:p w14:paraId="723C1B58" w14:textId="77777777" w:rsidR="00A07E46" w:rsidRPr="00C4345B" w:rsidRDefault="00A07E46" w:rsidP="00A5396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 w:rsidRPr="00C4345B">
              <w:rPr>
                <w:rFonts w:ascii="Arial Narrow" w:hAnsi="Arial Narrow" w:cs="Calibri"/>
                <w:sz w:val="24"/>
                <w:szCs w:val="24"/>
              </w:rPr>
              <w:t>Work has deadlines, multiple interruptions and may be stressful at times.</w:t>
            </w:r>
          </w:p>
          <w:p w14:paraId="06F1E15A" w14:textId="77777777" w:rsidR="00A07E46" w:rsidRPr="00C4345B" w:rsidRDefault="00A07E46" w:rsidP="00A5396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 w:rsidRPr="00C4345B">
              <w:rPr>
                <w:rFonts w:ascii="Arial Narrow" w:hAnsi="Arial Narrow" w:cs="Calibri"/>
                <w:sz w:val="24"/>
                <w:szCs w:val="24"/>
              </w:rPr>
              <w:t>Work may require occasional travel</w:t>
            </w:r>
          </w:p>
          <w:p w14:paraId="085F0035" w14:textId="77777777" w:rsidR="00A07E46" w:rsidRPr="00C4345B" w:rsidRDefault="00A07E46" w:rsidP="00A5396E">
            <w:pPr>
              <w:numPr>
                <w:ilvl w:val="0"/>
                <w:numId w:val="18"/>
              </w:numPr>
              <w:spacing w:line="276" w:lineRule="auto"/>
              <w:rPr>
                <w:rFonts w:ascii="Arial Narrow" w:hAnsi="Arial Narrow" w:cs="Calibri"/>
                <w:sz w:val="24"/>
                <w:szCs w:val="24"/>
              </w:rPr>
            </w:pPr>
            <w:r w:rsidRPr="00C4345B">
              <w:rPr>
                <w:rFonts w:ascii="Arial Narrow" w:hAnsi="Arial Narrow" w:cs="Calibri"/>
                <w:sz w:val="24"/>
                <w:szCs w:val="24"/>
              </w:rPr>
              <w:t>Standard climate-controlled office setting</w:t>
            </w:r>
            <w:r w:rsidRPr="00C4345B">
              <w:rPr>
                <w:rFonts w:ascii="Arial Narrow" w:hAnsi="Arial Narrow" w:cs="Calibri"/>
                <w:sz w:val="24"/>
                <w:szCs w:val="24"/>
              </w:rPr>
              <w:tab/>
            </w:r>
          </w:p>
          <w:p w14:paraId="3F97A1CF" w14:textId="77777777" w:rsidR="00A07E46" w:rsidRPr="00C4345B" w:rsidRDefault="00A07E46" w:rsidP="00A5396E">
            <w:pPr>
              <w:pStyle w:val="InsideCellHeader"/>
              <w:numPr>
                <w:ilvl w:val="0"/>
                <w:numId w:val="18"/>
              </w:numPr>
              <w:jc w:val="left"/>
              <w:rPr>
                <w:b/>
                <w:sz w:val="24"/>
                <w:szCs w:val="24"/>
              </w:rPr>
            </w:pPr>
            <w:r w:rsidRPr="00C4345B">
              <w:rPr>
                <w:rFonts w:cs="Calibri"/>
                <w:sz w:val="24"/>
                <w:szCs w:val="24"/>
              </w:rPr>
              <w:t>Occasional exposure to open air, warehouse setting</w:t>
            </w:r>
          </w:p>
        </w:tc>
      </w:tr>
    </w:tbl>
    <w:p w14:paraId="7A4DD0F5" w14:textId="77777777" w:rsidR="007D3C50" w:rsidRPr="00F619B1" w:rsidRDefault="007D3C50" w:rsidP="007D3C50">
      <w:pPr>
        <w:pStyle w:val="InsideCell"/>
        <w:rPr>
          <w:sz w:val="24"/>
          <w:szCs w:val="26"/>
        </w:rPr>
      </w:pPr>
    </w:p>
    <w:p w14:paraId="16565359" w14:textId="77777777" w:rsidR="007D3C50" w:rsidRDefault="007D3C50">
      <w:r w:rsidRPr="00CA10A3">
        <w:rPr>
          <w:rFonts w:ascii="Arial Narrow" w:hAnsi="Arial Narrow"/>
          <w:i/>
          <w:iCs/>
          <w:sz w:val="24"/>
        </w:rPr>
        <w:lastRenderedPageBreak/>
        <w:t>Implus is an Equal Opportunity/Affirmative Action Employer. All qualified applicants will receive consideration for employment without regard to race, color, religion/belief, sex, national origin, sexual orientation, age, protected veteran status, or disability status</w:t>
      </w:r>
      <w:r w:rsidR="00DA3822">
        <w:rPr>
          <w:rFonts w:ascii="Arial Narrow" w:hAnsi="Arial Narrow"/>
          <w:i/>
          <w:iCs/>
          <w:sz w:val="24"/>
        </w:rPr>
        <w:t>.</w:t>
      </w:r>
    </w:p>
    <w:sectPr w:rsidR="007D3C50" w:rsidSect="007D3C50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onita McClure" w:date="2020-11-20T13:11:00Z" w:initials="BM">
    <w:p w14:paraId="40439F76" w14:textId="2408D068" w:rsidR="00106C53" w:rsidRDefault="00106C53">
      <w:pPr>
        <w:pStyle w:val="CommentText"/>
      </w:pPr>
      <w:r>
        <w:rPr>
          <w:rStyle w:val="CommentReference"/>
        </w:rPr>
        <w:annotationRef/>
      </w:r>
      <w:r w:rsidR="00124A82">
        <w:t xml:space="preserve">Recommendation:  Replace “supports” with “Assists”. </w:t>
      </w:r>
    </w:p>
  </w:comment>
  <w:comment w:id="1" w:author="Bonita McClure" w:date="2020-11-20T13:13:00Z" w:initials="BM">
    <w:p w14:paraId="4B5A4359" w14:textId="74A51053" w:rsidR="00124A82" w:rsidRDefault="00124A82">
      <w:pPr>
        <w:pStyle w:val="CommentText"/>
      </w:pPr>
      <w:r>
        <w:rPr>
          <w:rStyle w:val="CommentReference"/>
        </w:rPr>
        <w:annotationRef/>
      </w:r>
      <w:bookmarkStart w:id="2" w:name="_GoBack"/>
      <w:r>
        <w:t>Suggestion:  Replace “Supports” with “Aids” or “Assists”</w:t>
      </w:r>
      <w:bookmarkEnd w:id="2"/>
    </w:p>
  </w:comment>
  <w:comment w:id="3" w:author="Bonita McClure" w:date="2020-11-20T12:47:00Z" w:initials="BM">
    <w:p w14:paraId="4347EC6C" w14:textId="527F7313" w:rsidR="00E327DF" w:rsidRDefault="00E327DF">
      <w:pPr>
        <w:pStyle w:val="CommentText"/>
      </w:pPr>
      <w:r>
        <w:rPr>
          <w:rStyle w:val="CommentReference"/>
        </w:rPr>
        <w:annotationRef/>
      </w:r>
      <w:r>
        <w:t xml:space="preserve">Suggestion – List the actual visual duties required for this position.  For instance, ability to read reports, create presentations, use a computer system, and any other specific duties that require close vision, peripheral, and depth perception.  This allows a person with a visual challenge to make their own decision about applying based on the specific duties required for the position.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439F76" w15:done="1"/>
  <w15:commentEx w15:paraId="4B5A4359" w15:done="1"/>
  <w15:commentEx w15:paraId="4347EC6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439F76" w16cid:durableId="23623F08"/>
  <w16cid:commentId w16cid:paraId="4B5A4359" w16cid:durableId="23623F7A"/>
  <w16cid:commentId w16cid:paraId="4347EC6C" w16cid:durableId="236239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3FF53" w14:textId="77777777" w:rsidR="002D5B77" w:rsidRDefault="002D5B77" w:rsidP="007D3C50">
      <w:pPr>
        <w:spacing w:after="0" w:line="240" w:lineRule="auto"/>
      </w:pPr>
      <w:r>
        <w:separator/>
      </w:r>
    </w:p>
  </w:endnote>
  <w:endnote w:type="continuationSeparator" w:id="0">
    <w:p w14:paraId="4ACCEEA5" w14:textId="77777777" w:rsidR="002D5B77" w:rsidRDefault="002D5B77" w:rsidP="007D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8390E" w14:textId="77777777" w:rsidR="007D3C50" w:rsidRPr="00586A50" w:rsidRDefault="007D3C50" w:rsidP="007D3C50">
    <w:pPr>
      <w:pStyle w:val="Footer"/>
      <w:jc w:val="center"/>
      <w:rPr>
        <w:rFonts w:ascii="Arial Narrow" w:hAnsi="Arial Narrow"/>
        <w:b/>
      </w:rPr>
    </w:pPr>
    <w:r w:rsidRPr="00586A50">
      <w:rPr>
        <w:rFonts w:ascii="Arial Narrow" w:hAnsi="Arial Narrow"/>
        <w:b/>
      </w:rPr>
      <w:t>FOR HR USE ONLY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96"/>
      <w:gridCol w:w="5394"/>
    </w:tblGrid>
    <w:tr w:rsidR="007D3C50" w14:paraId="419F5DF3" w14:textId="77777777" w:rsidTr="00E06662">
      <w:tc>
        <w:tcPr>
          <w:tcW w:w="5508" w:type="dxa"/>
          <w:shd w:val="clear" w:color="auto" w:fill="auto"/>
        </w:tcPr>
        <w:p w14:paraId="044178A6" w14:textId="77777777" w:rsidR="007D3C50" w:rsidRPr="00586A50" w:rsidRDefault="007D3C50" w:rsidP="007D3C50">
          <w:pPr>
            <w:pStyle w:val="Footer"/>
            <w:rPr>
              <w:rFonts w:ascii="Arial Narrow" w:hAnsi="Arial Narrow"/>
              <w:b/>
              <w:color w:val="000099"/>
            </w:rPr>
          </w:pPr>
          <w:r w:rsidRPr="00586A50">
            <w:rPr>
              <w:rFonts w:ascii="Arial Narrow" w:hAnsi="Arial Narrow"/>
              <w:b/>
              <w:color w:val="000099"/>
            </w:rPr>
            <w:t>Position #:</w:t>
          </w:r>
        </w:p>
      </w:tc>
      <w:tc>
        <w:tcPr>
          <w:tcW w:w="5508" w:type="dxa"/>
          <w:shd w:val="clear" w:color="auto" w:fill="auto"/>
        </w:tcPr>
        <w:p w14:paraId="5EBE325F" w14:textId="77777777" w:rsidR="007D3C50" w:rsidRPr="00586A50" w:rsidRDefault="007D3C50" w:rsidP="007D3C50">
          <w:pPr>
            <w:pStyle w:val="Footer"/>
            <w:tabs>
              <w:tab w:val="center" w:pos="2646"/>
            </w:tabs>
            <w:rPr>
              <w:rFonts w:ascii="Arial Narrow" w:hAnsi="Arial Narrow"/>
              <w:b/>
              <w:color w:val="000099"/>
            </w:rPr>
          </w:pPr>
          <w:r w:rsidRPr="00586A50">
            <w:rPr>
              <w:rFonts w:ascii="Arial Narrow" w:hAnsi="Arial Narrow"/>
              <w:b/>
              <w:color w:val="000099"/>
            </w:rPr>
            <w:t>Salary Grade/Range:</w:t>
          </w:r>
          <w:r w:rsidRPr="00586A50">
            <w:rPr>
              <w:rFonts w:ascii="Arial Narrow" w:hAnsi="Arial Narrow"/>
              <w:b/>
              <w:color w:val="000099"/>
            </w:rPr>
            <w:tab/>
          </w:r>
        </w:p>
      </w:tc>
    </w:tr>
    <w:tr w:rsidR="007D3C50" w14:paraId="617D8D73" w14:textId="77777777" w:rsidTr="00E06662">
      <w:tc>
        <w:tcPr>
          <w:tcW w:w="5508" w:type="dxa"/>
          <w:shd w:val="clear" w:color="auto" w:fill="auto"/>
        </w:tcPr>
        <w:p w14:paraId="19E3FB49" w14:textId="77777777" w:rsidR="007D3C50" w:rsidRPr="00586A50" w:rsidRDefault="007D3C50" w:rsidP="007D3C50">
          <w:pPr>
            <w:pStyle w:val="Footer"/>
            <w:tabs>
              <w:tab w:val="center" w:pos="2646"/>
            </w:tabs>
            <w:rPr>
              <w:rFonts w:ascii="Arial Narrow" w:hAnsi="Arial Narrow"/>
              <w:b/>
              <w:color w:val="000099"/>
            </w:rPr>
          </w:pPr>
          <w:r w:rsidRPr="00586A50">
            <w:rPr>
              <w:rFonts w:ascii="Arial Narrow" w:hAnsi="Arial Narrow"/>
              <w:b/>
              <w:color w:val="000099"/>
            </w:rPr>
            <w:t>FLSA Classification:</w:t>
          </w:r>
        </w:p>
      </w:tc>
      <w:tc>
        <w:tcPr>
          <w:tcW w:w="5508" w:type="dxa"/>
          <w:shd w:val="clear" w:color="auto" w:fill="auto"/>
        </w:tcPr>
        <w:p w14:paraId="5A2BE859" w14:textId="77777777" w:rsidR="007D3C50" w:rsidRPr="00586A50" w:rsidRDefault="007D3C50" w:rsidP="007D3C50">
          <w:pPr>
            <w:pStyle w:val="Footer"/>
            <w:rPr>
              <w:rFonts w:ascii="Arial Narrow" w:hAnsi="Arial Narrow"/>
              <w:b/>
              <w:color w:val="000099"/>
            </w:rPr>
          </w:pPr>
          <w:r w:rsidRPr="00586A50">
            <w:rPr>
              <w:rFonts w:ascii="Arial Narrow" w:hAnsi="Arial Narrow"/>
              <w:b/>
              <w:color w:val="000099"/>
            </w:rPr>
            <w:t>Exemption:</w:t>
          </w:r>
        </w:p>
      </w:tc>
    </w:tr>
  </w:tbl>
  <w:p w14:paraId="28A85CEE" w14:textId="77777777" w:rsidR="007D3C50" w:rsidRDefault="007D3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51683" w14:textId="77777777" w:rsidR="002D5B77" w:rsidRDefault="002D5B77" w:rsidP="007D3C50">
      <w:pPr>
        <w:spacing w:after="0" w:line="240" w:lineRule="auto"/>
      </w:pPr>
      <w:r>
        <w:separator/>
      </w:r>
    </w:p>
  </w:footnote>
  <w:footnote w:type="continuationSeparator" w:id="0">
    <w:p w14:paraId="436AF2BE" w14:textId="77777777" w:rsidR="002D5B77" w:rsidRDefault="002D5B77" w:rsidP="007D3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1CAC"/>
    <w:multiLevelType w:val="hybridMultilevel"/>
    <w:tmpl w:val="3052F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425BE"/>
    <w:multiLevelType w:val="hybridMultilevel"/>
    <w:tmpl w:val="2C4CB372"/>
    <w:lvl w:ilvl="0" w:tplc="1028471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765ED"/>
    <w:multiLevelType w:val="hybridMultilevel"/>
    <w:tmpl w:val="FFDAEF10"/>
    <w:lvl w:ilvl="0" w:tplc="F05A5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9C569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69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F83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F63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E03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64D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4D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42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8B7C50"/>
    <w:multiLevelType w:val="hybridMultilevel"/>
    <w:tmpl w:val="CC4CF92E"/>
    <w:lvl w:ilvl="0" w:tplc="F138A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383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0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AA6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E07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ECE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E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864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4B2639"/>
    <w:multiLevelType w:val="hybridMultilevel"/>
    <w:tmpl w:val="1702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03A01"/>
    <w:multiLevelType w:val="multilevel"/>
    <w:tmpl w:val="0CB0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D20543"/>
    <w:multiLevelType w:val="hybridMultilevel"/>
    <w:tmpl w:val="06821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32336"/>
    <w:multiLevelType w:val="hybridMultilevel"/>
    <w:tmpl w:val="207C7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2CB5"/>
    <w:multiLevelType w:val="hybridMultilevel"/>
    <w:tmpl w:val="C17E8FF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D937830"/>
    <w:multiLevelType w:val="hybridMultilevel"/>
    <w:tmpl w:val="3D881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5775"/>
    <w:multiLevelType w:val="hybridMultilevel"/>
    <w:tmpl w:val="C82CC1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C75D39"/>
    <w:multiLevelType w:val="hybridMultilevel"/>
    <w:tmpl w:val="3CF6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8466E"/>
    <w:multiLevelType w:val="hybridMultilevel"/>
    <w:tmpl w:val="372E2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9552F"/>
    <w:multiLevelType w:val="hybridMultilevel"/>
    <w:tmpl w:val="845C2AAA"/>
    <w:lvl w:ilvl="0" w:tplc="10284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968DA"/>
    <w:multiLevelType w:val="hybridMultilevel"/>
    <w:tmpl w:val="A7529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285954"/>
    <w:multiLevelType w:val="multilevel"/>
    <w:tmpl w:val="7D02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6102F8"/>
    <w:multiLevelType w:val="hybridMultilevel"/>
    <w:tmpl w:val="151E76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7ECB7F75"/>
    <w:multiLevelType w:val="hybridMultilevel"/>
    <w:tmpl w:val="FF0C1708"/>
    <w:lvl w:ilvl="0" w:tplc="10284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382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244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9C3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C6E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2A6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A1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6D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8"/>
  </w:num>
  <w:num w:numId="5">
    <w:abstractNumId w:val="16"/>
  </w:num>
  <w:num w:numId="6">
    <w:abstractNumId w:val="12"/>
  </w:num>
  <w:num w:numId="7">
    <w:abstractNumId w:val="13"/>
  </w:num>
  <w:num w:numId="8">
    <w:abstractNumId w:val="1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11"/>
  </w:num>
  <w:num w:numId="14">
    <w:abstractNumId w:val="6"/>
  </w:num>
  <w:num w:numId="15">
    <w:abstractNumId w:val="9"/>
  </w:num>
  <w:num w:numId="16">
    <w:abstractNumId w:val="10"/>
  </w:num>
  <w:num w:numId="17">
    <w:abstractNumId w:val="7"/>
  </w:num>
  <w:num w:numId="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nita McClure">
    <w15:presenceInfo w15:providerId="AD" w15:userId="S::bmcclure@4implus.com::88ec0d59-c661-4be4-a9cd-5c3ac1e60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0"/>
    <w:rsid w:val="00087BCB"/>
    <w:rsid w:val="00106C53"/>
    <w:rsid w:val="00113A29"/>
    <w:rsid w:val="00124A82"/>
    <w:rsid w:val="001430D0"/>
    <w:rsid w:val="00151003"/>
    <w:rsid w:val="001B6227"/>
    <w:rsid w:val="001D6419"/>
    <w:rsid w:val="0022773E"/>
    <w:rsid w:val="002A1330"/>
    <w:rsid w:val="002D5B77"/>
    <w:rsid w:val="00317009"/>
    <w:rsid w:val="003A167B"/>
    <w:rsid w:val="00435D55"/>
    <w:rsid w:val="004477AC"/>
    <w:rsid w:val="004C3080"/>
    <w:rsid w:val="004E2FD4"/>
    <w:rsid w:val="004E516E"/>
    <w:rsid w:val="0058226A"/>
    <w:rsid w:val="005B6930"/>
    <w:rsid w:val="006473A2"/>
    <w:rsid w:val="00660AFE"/>
    <w:rsid w:val="00697E1A"/>
    <w:rsid w:val="00715330"/>
    <w:rsid w:val="007D3C50"/>
    <w:rsid w:val="00850A5B"/>
    <w:rsid w:val="00936528"/>
    <w:rsid w:val="009A793C"/>
    <w:rsid w:val="009B5C25"/>
    <w:rsid w:val="009E33A0"/>
    <w:rsid w:val="00A07E46"/>
    <w:rsid w:val="00A5396E"/>
    <w:rsid w:val="00AC4FED"/>
    <w:rsid w:val="00B16B47"/>
    <w:rsid w:val="00B22C2F"/>
    <w:rsid w:val="00B30147"/>
    <w:rsid w:val="00B422D8"/>
    <w:rsid w:val="00B65A33"/>
    <w:rsid w:val="00BD45AE"/>
    <w:rsid w:val="00C4345B"/>
    <w:rsid w:val="00CA10A3"/>
    <w:rsid w:val="00D161AC"/>
    <w:rsid w:val="00DA3822"/>
    <w:rsid w:val="00E11EEA"/>
    <w:rsid w:val="00E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B6F0"/>
  <w15:chartTrackingRefBased/>
  <w15:docId w15:val="{25630001-47ED-4173-BE69-0770D29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C50"/>
    <w:pPr>
      <w:keepNext/>
      <w:keepLines/>
      <w:spacing w:before="480" w:after="0" w:line="240" w:lineRule="auto"/>
      <w:outlineLvl w:val="0"/>
    </w:pPr>
    <w:rPr>
      <w:rFonts w:ascii="Rockwell" w:eastAsia="Times New Roman" w:hAnsi="Rockwell" w:cs="Times New Roman"/>
      <w:bCs/>
      <w:color w:val="F79646"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C50"/>
    <w:rPr>
      <w:rFonts w:ascii="Rockwell" w:eastAsia="Times New Roman" w:hAnsi="Rockwell" w:cs="Times New Roman"/>
      <w:bCs/>
      <w:color w:val="F79646"/>
      <w:sz w:val="48"/>
      <w:szCs w:val="32"/>
    </w:rPr>
  </w:style>
  <w:style w:type="table" w:styleId="TableGrid">
    <w:name w:val="Table Grid"/>
    <w:basedOn w:val="TableNormal"/>
    <w:uiPriority w:val="39"/>
    <w:rsid w:val="007D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Cell">
    <w:name w:val="Inside Cell"/>
    <w:qFormat/>
    <w:rsid w:val="007D3C50"/>
    <w:pPr>
      <w:spacing w:after="0" w:line="240" w:lineRule="auto"/>
    </w:pPr>
    <w:rPr>
      <w:rFonts w:ascii="Arial Narrow" w:eastAsia="Times New Roman" w:hAnsi="Arial Narrow" w:cs="Times New Roman"/>
      <w:bCs/>
      <w:color w:val="000000"/>
      <w:szCs w:val="32"/>
    </w:rPr>
  </w:style>
  <w:style w:type="paragraph" w:styleId="Header">
    <w:name w:val="header"/>
    <w:basedOn w:val="Normal"/>
    <w:link w:val="HeaderChar"/>
    <w:uiPriority w:val="99"/>
    <w:unhideWhenUsed/>
    <w:rsid w:val="007D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C50"/>
  </w:style>
  <w:style w:type="paragraph" w:styleId="Footer">
    <w:name w:val="footer"/>
    <w:basedOn w:val="Normal"/>
    <w:link w:val="FooterChar"/>
    <w:uiPriority w:val="99"/>
    <w:unhideWhenUsed/>
    <w:rsid w:val="007D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C50"/>
  </w:style>
  <w:style w:type="character" w:customStyle="1" w:styleId="Heading3Char">
    <w:name w:val="Heading 3 Char"/>
    <w:basedOn w:val="DefaultParagraphFont"/>
    <w:link w:val="Heading3"/>
    <w:uiPriority w:val="9"/>
    <w:rsid w:val="007D3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sideCellHeader">
    <w:name w:val="Inside Cell Header"/>
    <w:basedOn w:val="Heading1"/>
    <w:qFormat/>
    <w:rsid w:val="007D3C50"/>
    <w:pPr>
      <w:spacing w:before="0"/>
      <w:jc w:val="center"/>
    </w:pPr>
    <w:rPr>
      <w:rFonts w:ascii="Arial Narrow" w:hAnsi="Arial Narrow"/>
      <w:color w:val="FFFFFF"/>
      <w:sz w:val="22"/>
    </w:rPr>
  </w:style>
  <w:style w:type="paragraph" w:styleId="ListParagraph">
    <w:name w:val="List Paragraph"/>
    <w:basedOn w:val="Normal"/>
    <w:uiPriority w:val="34"/>
    <w:qFormat/>
    <w:rsid w:val="007D3C5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08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5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087A-C240-46D0-9284-E735B441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Payne</dc:creator>
  <cp:keywords/>
  <dc:description/>
  <cp:lastModifiedBy>Rozlyn Burr</cp:lastModifiedBy>
  <cp:revision>4</cp:revision>
  <dcterms:created xsi:type="dcterms:W3CDTF">2020-11-20T18:52:00Z</dcterms:created>
  <dcterms:modified xsi:type="dcterms:W3CDTF">2020-11-23T19:19:00Z</dcterms:modified>
</cp:coreProperties>
</file>