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B275E" w14:textId="50316024" w:rsidR="00874D46" w:rsidRDefault="00B84914" w:rsidP="00BC0A5B">
      <w:pPr>
        <w:spacing w:after="0" w:line="259" w:lineRule="auto"/>
        <w:ind w:left="0" w:right="9" w:firstLine="0"/>
        <w:jc w:val="center"/>
      </w:pPr>
      <w:r>
        <w:rPr>
          <w:sz w:val="36"/>
          <w:szCs w:val="36"/>
        </w:rPr>
        <w:t>BRENT CLAYPOOL</w:t>
      </w:r>
    </w:p>
    <w:p w14:paraId="33B84C72" w14:textId="2F4A3ED2" w:rsidR="00D25FC0" w:rsidRDefault="00E9758E" w:rsidP="00BC0A5B">
      <w:pPr>
        <w:spacing w:after="0" w:line="259" w:lineRule="auto"/>
        <w:ind w:right="52"/>
        <w:jc w:val="center"/>
        <w:rPr>
          <w:b/>
          <w:sz w:val="18"/>
        </w:rPr>
      </w:pPr>
      <w:r>
        <w:rPr>
          <w:b/>
          <w:sz w:val="18"/>
        </w:rPr>
        <w:t xml:space="preserve">9021 Grindlay St., </w:t>
      </w:r>
      <w:r w:rsidR="00D25FC0">
        <w:rPr>
          <w:b/>
          <w:sz w:val="18"/>
        </w:rPr>
        <w:t xml:space="preserve">Apt. </w:t>
      </w:r>
      <w:r>
        <w:rPr>
          <w:b/>
          <w:sz w:val="18"/>
        </w:rPr>
        <w:t>233</w:t>
      </w:r>
    </w:p>
    <w:p w14:paraId="17B2014A" w14:textId="41F23574" w:rsidR="00874D46" w:rsidRDefault="00E9758E" w:rsidP="00BC0A5B">
      <w:pPr>
        <w:spacing w:after="0" w:line="259" w:lineRule="auto"/>
        <w:ind w:right="52"/>
        <w:jc w:val="center"/>
      </w:pPr>
      <w:r>
        <w:rPr>
          <w:b/>
          <w:sz w:val="18"/>
        </w:rPr>
        <w:t>Cypress</w:t>
      </w:r>
      <w:r w:rsidR="00507C7C">
        <w:rPr>
          <w:b/>
          <w:sz w:val="18"/>
        </w:rPr>
        <w:t xml:space="preserve">, CA </w:t>
      </w:r>
      <w:r>
        <w:rPr>
          <w:b/>
          <w:sz w:val="18"/>
        </w:rPr>
        <w:t xml:space="preserve">90630 </w:t>
      </w:r>
      <w:r w:rsidR="00360214">
        <w:rPr>
          <w:b/>
          <w:sz w:val="18"/>
        </w:rPr>
        <w:t>| 562-544-1442 | bc606039@gmail.com</w:t>
      </w:r>
    </w:p>
    <w:p w14:paraId="22E839F1" w14:textId="77777777" w:rsidR="00874D46" w:rsidRDefault="00360214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4203A605" w14:textId="77777777" w:rsidR="00874D46" w:rsidRDefault="00360214">
      <w:pPr>
        <w:spacing w:after="63" w:line="259" w:lineRule="auto"/>
        <w:ind w:left="-2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A115B43" wp14:editId="36E70A8F">
                <wp:extent cx="6893560" cy="38100"/>
                <wp:effectExtent l="0" t="0" r="0" b="0"/>
                <wp:docPr id="2867" name="Group 2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33" name="Shape 3933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7" style="width:542.8pt;height:3pt;mso-position-horizontal-relative:char;mso-position-vertical-relative:line" coordsize="68935,381">
                <v:shape id="Shape 3934" style="position:absolute;width:68935;height:381;left:0;top:0;" coordsize="6893560,38100" path="m0,0l6893560,0l6893560,38100l0,38100l0,0">
                  <v:stroke weight="0pt" endcap="flat" joinstyle="miter" miterlimit="10" on="false" color="#000000" opacity="0"/>
                  <v:fill on="true" color="#c1ad85"/>
                </v:shape>
              </v:group>
            </w:pict>
          </mc:Fallback>
        </mc:AlternateContent>
      </w:r>
    </w:p>
    <w:p w14:paraId="2104F4FF" w14:textId="42416229" w:rsidR="00874D46" w:rsidRDefault="00EA3BED" w:rsidP="00EA3BED">
      <w:pPr>
        <w:pStyle w:val="Heading1"/>
        <w:numPr>
          <w:ilvl w:val="0"/>
          <w:numId w:val="0"/>
        </w:numPr>
        <w:ind w:left="10"/>
        <w:jc w:val="both"/>
      </w:pPr>
      <w:r>
        <w:t xml:space="preserve">                                                                                                 </w:t>
      </w:r>
      <w:r w:rsidR="00360214">
        <w:t>P R O F I L E</w:t>
      </w:r>
    </w:p>
    <w:p w14:paraId="563792AF" w14:textId="77777777" w:rsidR="00874D46" w:rsidRDefault="00360214">
      <w:pPr>
        <w:spacing w:after="0" w:line="259" w:lineRule="auto"/>
        <w:ind w:left="-2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88CD508" wp14:editId="2DD57FE1">
                <wp:extent cx="6893560" cy="38100"/>
                <wp:effectExtent l="0" t="0" r="0" b="0"/>
                <wp:docPr id="2868" name="Group 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35" name="Shape 3935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8" style="width:542.8pt;height:3pt;mso-position-horizontal-relative:char;mso-position-vertical-relative:line" coordsize="68935,381">
                <v:shape id="Shape 3936" style="position:absolute;width:68935;height:381;left:0;top:0;" coordsize="6893560,38100" path="m0,0l6893560,0l6893560,38100l0,38100l0,0">
                  <v:stroke weight="0pt" endcap="flat" joinstyle="miter" miterlimit="10" on="false" color="#000000" opacity="0"/>
                  <v:fill on="true" color="#c1ad85"/>
                </v:shape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11126" w:type="dxa"/>
        <w:tblInd w:w="-28" w:type="dxa"/>
        <w:tblLook w:val="04A0" w:firstRow="1" w:lastRow="0" w:firstColumn="1" w:lastColumn="0" w:noHBand="0" w:noVBand="1"/>
      </w:tblPr>
      <w:tblGrid>
        <w:gridCol w:w="28"/>
        <w:gridCol w:w="6771"/>
        <w:gridCol w:w="117"/>
        <w:gridCol w:w="176"/>
        <w:gridCol w:w="3764"/>
        <w:gridCol w:w="270"/>
      </w:tblGrid>
      <w:tr w:rsidR="00874D46" w14:paraId="2D40AE04" w14:textId="77777777" w:rsidTr="00B1617A">
        <w:trPr>
          <w:gridBefore w:val="1"/>
          <w:wBefore w:w="28" w:type="dxa"/>
          <w:trHeight w:val="3680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4BF1A196" w14:textId="32B54CA2" w:rsidR="00D25FC0" w:rsidRDefault="00360214" w:rsidP="00F03F22">
            <w:pPr>
              <w:pStyle w:val="NoSpacing"/>
            </w:pPr>
            <w:r>
              <w:t xml:space="preserve">Licensed </w:t>
            </w:r>
            <w:r w:rsidR="00507C7C">
              <w:t>C</w:t>
            </w:r>
            <w:r>
              <w:t xml:space="preserve">ustoms </w:t>
            </w:r>
            <w:r w:rsidR="00507C7C">
              <w:t>B</w:t>
            </w:r>
            <w:r>
              <w:t>roker, import customs compliance expert, and certified customs specialist</w:t>
            </w:r>
            <w:r w:rsidR="00837F0E">
              <w:t>, experienced in e</w:t>
            </w:r>
            <w:r>
              <w:t>levating companies</w:t>
            </w:r>
            <w:r w:rsidR="006B210A">
              <w:t xml:space="preserve"> </w:t>
            </w:r>
            <w:r>
              <w:t xml:space="preserve">into regulatory compliance. </w:t>
            </w:r>
          </w:p>
          <w:p w14:paraId="56E4D39B" w14:textId="77777777" w:rsidR="00D25FC0" w:rsidRDefault="00D25FC0" w:rsidP="00F03F22">
            <w:pPr>
              <w:pStyle w:val="NoSpacing"/>
            </w:pPr>
          </w:p>
          <w:p w14:paraId="335FC689" w14:textId="7DEB238F" w:rsidR="00874D46" w:rsidRDefault="00360214" w:rsidP="00F03F22">
            <w:pPr>
              <w:pStyle w:val="NoSpacing"/>
            </w:pPr>
            <w:r>
              <w:t xml:space="preserve">Finesse for identifying and resolving import compliance issues, by directing audits of </w:t>
            </w:r>
            <w:r w:rsidR="00C75462">
              <w:t>I</w:t>
            </w:r>
            <w:r>
              <w:t xml:space="preserve">mport </w:t>
            </w:r>
            <w:r w:rsidR="00C75462">
              <w:t>E</w:t>
            </w:r>
            <w:r>
              <w:t xml:space="preserve">ntries, </w:t>
            </w:r>
            <w:r w:rsidR="00D86E9F">
              <w:t xml:space="preserve">managing CTPAT compliance, </w:t>
            </w:r>
            <w:r>
              <w:t>implementing SOP</w:t>
            </w:r>
            <w:r w:rsidR="00B1617A">
              <w:t>’</w:t>
            </w:r>
            <w:r>
              <w:t xml:space="preserve">s and </w:t>
            </w:r>
            <w:r w:rsidR="00C75462">
              <w:t>W</w:t>
            </w:r>
            <w:r>
              <w:t xml:space="preserve">ork </w:t>
            </w:r>
            <w:r w:rsidR="00C75462">
              <w:t>I</w:t>
            </w:r>
            <w:r>
              <w:t>nstructions, and writing</w:t>
            </w:r>
            <w:r w:rsidR="00837F0E">
              <w:t>/submitting</w:t>
            </w:r>
            <w:r>
              <w:t xml:space="preserve"> PSC</w:t>
            </w:r>
            <w:r w:rsidR="00B1617A">
              <w:t>’</w:t>
            </w:r>
            <w:r>
              <w:t>s</w:t>
            </w:r>
            <w:r w:rsidR="00494698">
              <w:t xml:space="preserve">, </w:t>
            </w:r>
            <w:r w:rsidR="00D25FC0">
              <w:t>P</w:t>
            </w:r>
            <w:r>
              <w:t>rotests</w:t>
            </w:r>
            <w:r w:rsidR="00494698">
              <w:t>, Petition</w:t>
            </w:r>
            <w:r w:rsidR="00C75462">
              <w:t xml:space="preserve"> Letters, and Binding Classification Ruling</w:t>
            </w:r>
            <w:r w:rsidR="006B210A">
              <w:t xml:space="preserve"> </w:t>
            </w:r>
            <w:r w:rsidR="00C75462">
              <w:t>Request Letters.</w:t>
            </w:r>
            <w:r>
              <w:t xml:space="preserve"> </w:t>
            </w:r>
            <w:r w:rsidR="00B61959">
              <w:t>In addition, ACE</w:t>
            </w:r>
            <w:r w:rsidR="006B210A">
              <w:t>/</w:t>
            </w:r>
            <w:r w:rsidR="00B61959">
              <w:t xml:space="preserve"> Cargowise system experience</w:t>
            </w:r>
            <w:r w:rsidR="006B210A">
              <w:t xml:space="preserve">, and </w:t>
            </w:r>
            <w:r w:rsidR="00A02699">
              <w:t xml:space="preserve">managing </w:t>
            </w:r>
            <w:r w:rsidR="006B210A">
              <w:t xml:space="preserve">importer’s </w:t>
            </w:r>
            <w:r w:rsidR="00A02699">
              <w:t>compliance audits</w:t>
            </w:r>
            <w:r w:rsidR="006B210A">
              <w:t xml:space="preserve">. </w:t>
            </w:r>
          </w:p>
          <w:p w14:paraId="7C5050F4" w14:textId="77777777" w:rsidR="00874D46" w:rsidRDefault="00360214" w:rsidP="00F03F22">
            <w:pPr>
              <w:pStyle w:val="NoSpacing"/>
            </w:pPr>
            <w:r>
              <w:t xml:space="preserve"> </w:t>
            </w:r>
          </w:p>
          <w:p w14:paraId="303EA304" w14:textId="378A2EB6" w:rsidR="00874D46" w:rsidRDefault="00360214" w:rsidP="00F03F22">
            <w:pPr>
              <w:pStyle w:val="NoSpacing"/>
            </w:pPr>
            <w:r>
              <w:t xml:space="preserve">Competent and effective managerial presence, having track record of establishing organization’s compliance framework, </w:t>
            </w:r>
            <w:r w:rsidR="00B1617A">
              <w:t xml:space="preserve">and </w:t>
            </w:r>
            <w:r>
              <w:t xml:space="preserve">instituting </w:t>
            </w:r>
          </w:p>
          <w:p w14:paraId="2AE24D4C" w14:textId="65C3E876" w:rsidR="00874D46" w:rsidRDefault="00360214" w:rsidP="00F03F22">
            <w:pPr>
              <w:pStyle w:val="NoSpacing"/>
            </w:pPr>
            <w:r>
              <w:t xml:space="preserve">comprehensive U.S. CBP/U.S. PGA </w:t>
            </w:r>
            <w:r w:rsidR="00C53A93">
              <w:t xml:space="preserve">regulatory </w:t>
            </w:r>
            <w:r>
              <w:t>staff training</w:t>
            </w:r>
            <w:r w:rsidR="00B1617A">
              <w:t xml:space="preserve">. </w:t>
            </w:r>
            <w:r>
              <w:t xml:space="preserve"> </w:t>
            </w:r>
          </w:p>
          <w:p w14:paraId="46BC35D9" w14:textId="434470B4" w:rsidR="00874D46" w:rsidRDefault="00874D4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AAC7C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4067E50B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6CCAA239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34BE4CA2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038EBA4C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158DA81D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76772458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53BA2C91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284CA665" w14:textId="77777777" w:rsidR="00874D46" w:rsidRDefault="0036021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843DD" w14:textId="77777777" w:rsidR="00874D46" w:rsidRDefault="00360214">
            <w:pPr>
              <w:spacing w:after="143" w:line="259" w:lineRule="auto"/>
              <w:ind w:left="0" w:right="0" w:firstLine="0"/>
            </w:pPr>
            <w:r>
              <w:rPr>
                <w:b/>
                <w:sz w:val="18"/>
              </w:rPr>
              <w:t xml:space="preserve">U.S. Customs &amp; Border Protection (CBP) Regulations </w:t>
            </w:r>
          </w:p>
          <w:p w14:paraId="2F704097" w14:textId="2456312E" w:rsidR="00874D46" w:rsidRDefault="00360214">
            <w:pPr>
              <w:spacing w:after="143" w:line="259" w:lineRule="auto"/>
              <w:ind w:left="0" w:right="0" w:firstLine="0"/>
            </w:pPr>
            <w:r>
              <w:rPr>
                <w:b/>
                <w:sz w:val="18"/>
              </w:rPr>
              <w:t xml:space="preserve">U.S. Partner Government </w:t>
            </w:r>
            <w:r w:rsidR="00E9758E">
              <w:rPr>
                <w:b/>
                <w:sz w:val="18"/>
              </w:rPr>
              <w:t>Agenc</w:t>
            </w:r>
            <w:r w:rsidR="00E012DE">
              <w:rPr>
                <w:b/>
                <w:sz w:val="18"/>
              </w:rPr>
              <w:t xml:space="preserve">y </w:t>
            </w:r>
            <w:r w:rsidR="00E9758E">
              <w:rPr>
                <w:b/>
                <w:sz w:val="18"/>
              </w:rPr>
              <w:t xml:space="preserve">(PGA) </w:t>
            </w:r>
            <w:r>
              <w:rPr>
                <w:b/>
                <w:sz w:val="18"/>
              </w:rPr>
              <w:t xml:space="preserve">Regulations </w:t>
            </w:r>
          </w:p>
          <w:p w14:paraId="006AA964" w14:textId="701641FD" w:rsidR="00874D46" w:rsidRDefault="00360214">
            <w:pPr>
              <w:spacing w:after="143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Import Compliance</w:t>
            </w:r>
            <w:r w:rsidR="006C6E1F">
              <w:rPr>
                <w:b/>
                <w:sz w:val="18"/>
              </w:rPr>
              <w:t xml:space="preserve"> Auditing</w:t>
            </w:r>
            <w:r w:rsidR="00250596">
              <w:rPr>
                <w:b/>
                <w:sz w:val="18"/>
              </w:rPr>
              <w:t xml:space="preserve">, </w:t>
            </w:r>
            <w:r w:rsidR="00B1617A">
              <w:rPr>
                <w:b/>
                <w:sz w:val="18"/>
              </w:rPr>
              <w:t>Customs</w:t>
            </w:r>
            <w:r w:rsidR="00250596">
              <w:rPr>
                <w:b/>
                <w:sz w:val="18"/>
              </w:rPr>
              <w:t xml:space="preserve"> Compliance Management &amp; CTPAT Compliance Management</w:t>
            </w:r>
            <w:r>
              <w:rPr>
                <w:b/>
                <w:sz w:val="18"/>
              </w:rPr>
              <w:t xml:space="preserve"> </w:t>
            </w:r>
          </w:p>
          <w:p w14:paraId="16F10E37" w14:textId="41B65C2D" w:rsidR="00874D46" w:rsidRDefault="00360214">
            <w:pPr>
              <w:spacing w:after="143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SOP</w:t>
            </w:r>
            <w:r w:rsidR="00B1617A">
              <w:rPr>
                <w:b/>
                <w:sz w:val="18"/>
              </w:rPr>
              <w:t>’</w:t>
            </w:r>
            <w:r>
              <w:rPr>
                <w:b/>
                <w:sz w:val="18"/>
              </w:rPr>
              <w:t>s</w:t>
            </w:r>
            <w:r w:rsidR="00250596">
              <w:rPr>
                <w:b/>
                <w:sz w:val="18"/>
              </w:rPr>
              <w:t xml:space="preserve">, </w:t>
            </w:r>
            <w:r>
              <w:rPr>
                <w:b/>
                <w:sz w:val="18"/>
              </w:rPr>
              <w:t>Work Instructions</w:t>
            </w:r>
            <w:r w:rsidR="00250596">
              <w:rPr>
                <w:b/>
                <w:sz w:val="18"/>
              </w:rPr>
              <w:t xml:space="preserve"> &amp; Import Entry Auditing</w:t>
            </w:r>
            <w:r>
              <w:rPr>
                <w:b/>
                <w:sz w:val="18"/>
              </w:rPr>
              <w:t xml:space="preserve"> </w:t>
            </w:r>
          </w:p>
          <w:p w14:paraId="38BAFFE4" w14:textId="78A03376" w:rsidR="00874D46" w:rsidRPr="00D25FC0" w:rsidRDefault="00905278">
            <w:pPr>
              <w:spacing w:after="143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Section 301 China Tariffs </w:t>
            </w:r>
            <w:r w:rsidR="00494698">
              <w:rPr>
                <w:b/>
                <w:bCs/>
                <w:sz w:val="18"/>
                <w:szCs w:val="18"/>
              </w:rPr>
              <w:t>&amp; Product Classification</w:t>
            </w:r>
            <w:r w:rsidR="00E34D2A">
              <w:rPr>
                <w:b/>
                <w:bCs/>
                <w:sz w:val="18"/>
                <w:szCs w:val="18"/>
              </w:rPr>
              <w:t>s</w:t>
            </w:r>
          </w:p>
          <w:p w14:paraId="78F79DBC" w14:textId="0B608CBC" w:rsidR="00874D46" w:rsidRDefault="00905278">
            <w:pPr>
              <w:spacing w:after="143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Post-Entry </w:t>
            </w:r>
            <w:r w:rsidR="00D64096">
              <w:rPr>
                <w:b/>
                <w:sz w:val="18"/>
              </w:rPr>
              <w:t>Projects</w:t>
            </w:r>
            <w:r w:rsidR="00250596">
              <w:rPr>
                <w:b/>
                <w:sz w:val="18"/>
              </w:rPr>
              <w:t xml:space="preserve"> &amp; Reasonable Care Guidelines</w:t>
            </w:r>
          </w:p>
          <w:p w14:paraId="4E6B3DF7" w14:textId="77777777" w:rsidR="00874D46" w:rsidRDefault="00360214">
            <w:pPr>
              <w:spacing w:after="143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Staff Leadership &amp; Training </w:t>
            </w:r>
          </w:p>
          <w:p w14:paraId="03351290" w14:textId="77777777" w:rsidR="00874D46" w:rsidRDefault="00360214">
            <w:pPr>
              <w:spacing w:after="143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Problem Identification &amp; Resolution  </w:t>
            </w:r>
          </w:p>
          <w:p w14:paraId="2615CC05" w14:textId="1203AD04" w:rsidR="00874D46" w:rsidRDefault="00874D46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74D46" w14:paraId="34AD9378" w14:textId="77777777" w:rsidTr="00B1617A">
        <w:tblPrEx>
          <w:tblCellMar>
            <w:top w:w="93" w:type="dxa"/>
            <w:left w:w="115" w:type="dxa"/>
            <w:right w:w="682" w:type="dxa"/>
          </w:tblCellMar>
        </w:tblPrEx>
        <w:trPr>
          <w:gridAfter w:val="1"/>
          <w:wAfter w:w="270" w:type="dxa"/>
          <w:trHeight w:val="368"/>
        </w:trPr>
        <w:tc>
          <w:tcPr>
            <w:tcW w:w="6916" w:type="dxa"/>
            <w:gridSpan w:val="3"/>
            <w:tcBorders>
              <w:top w:val="single" w:sz="24" w:space="0" w:color="C1AD85"/>
              <w:left w:val="nil"/>
              <w:bottom w:val="single" w:sz="24" w:space="0" w:color="C1AD85"/>
              <w:right w:val="nil"/>
            </w:tcBorders>
          </w:tcPr>
          <w:p w14:paraId="077C7D3C" w14:textId="27B9D162" w:rsidR="00874D46" w:rsidRDefault="00360214">
            <w:pPr>
              <w:spacing w:after="0" w:line="259" w:lineRule="auto"/>
              <w:ind w:left="0" w:right="90" w:firstLine="0"/>
              <w:jc w:val="right"/>
            </w:pPr>
            <w:r>
              <w:t xml:space="preserve"> </w:t>
            </w:r>
            <w:r>
              <w:rPr>
                <w:b/>
              </w:rPr>
              <w:t xml:space="preserve">E X P E R I E N C E </w:t>
            </w:r>
          </w:p>
        </w:tc>
        <w:tc>
          <w:tcPr>
            <w:tcW w:w="3940" w:type="dxa"/>
            <w:gridSpan w:val="2"/>
            <w:tcBorders>
              <w:top w:val="single" w:sz="24" w:space="0" w:color="C1AD85"/>
              <w:left w:val="nil"/>
              <w:bottom w:val="single" w:sz="24" w:space="0" w:color="C1AD85"/>
              <w:right w:val="nil"/>
            </w:tcBorders>
          </w:tcPr>
          <w:p w14:paraId="4DDD0FA2" w14:textId="77777777" w:rsidR="00874D46" w:rsidRDefault="00874D4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1FF1F5D" w14:textId="77777777" w:rsidR="00874D46" w:rsidRDefault="00360214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3362F22D" w14:textId="7F27DA46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 xml:space="preserve">T. CUSTOMS BROKER, INC. | Los Angeles, </w:t>
      </w:r>
      <w:r w:rsidR="00507C7C">
        <w:t xml:space="preserve">CA </w:t>
      </w:r>
      <w:r w:rsidR="00507C7C">
        <w:tab/>
      </w:r>
      <w:r>
        <w:t xml:space="preserve">2017 to </w:t>
      </w:r>
      <w:r w:rsidR="001C6416">
        <w:t>2020</w:t>
      </w:r>
      <w:r>
        <w:t xml:space="preserve"> </w:t>
      </w:r>
    </w:p>
    <w:p w14:paraId="75F17573" w14:textId="77777777" w:rsidR="00874D46" w:rsidRDefault="00360214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4B33AA19" w14:textId="09A925D6" w:rsidR="00874D46" w:rsidRDefault="00360214" w:rsidP="00F03F22">
      <w:pPr>
        <w:pStyle w:val="NoSpacing"/>
      </w:pPr>
      <w:r>
        <w:rPr>
          <w:b/>
        </w:rPr>
        <w:t xml:space="preserve">Sr. Customs Compliance </w:t>
      </w:r>
      <w:r w:rsidR="00AE20E1">
        <w:rPr>
          <w:b/>
        </w:rPr>
        <w:t>Manager</w:t>
      </w:r>
      <w:r>
        <w:t xml:space="preserve">: Provided key expertise in </w:t>
      </w:r>
      <w:r w:rsidR="00494698">
        <w:t>CTPAT annual security review</w:t>
      </w:r>
      <w:r w:rsidR="000260C8">
        <w:t xml:space="preserve"> and revised minimum security </w:t>
      </w:r>
      <w:r w:rsidR="000260C8">
        <w:rPr>
          <w:bCs/>
        </w:rPr>
        <w:t xml:space="preserve">criteria guidelines, </w:t>
      </w:r>
      <w:r w:rsidR="00494698">
        <w:t xml:space="preserve">and in </w:t>
      </w:r>
      <w:r>
        <w:t>revalidating CTPAT</w:t>
      </w:r>
      <w:r w:rsidR="000260C8">
        <w:t xml:space="preserve"> </w:t>
      </w:r>
      <w:r>
        <w:t>certification through 2021. Instituted</w:t>
      </w:r>
      <w:r w:rsidR="00494698">
        <w:t xml:space="preserve"> </w:t>
      </w:r>
      <w:r>
        <w:t>structure in U.S. CBP processes and</w:t>
      </w:r>
      <w:r w:rsidR="00F03F22">
        <w:t xml:space="preserve"> </w:t>
      </w:r>
      <w:r>
        <w:t>optimized SOP</w:t>
      </w:r>
      <w:r w:rsidR="00B1617A">
        <w:t>’</w:t>
      </w:r>
      <w:r>
        <w:t>s</w:t>
      </w:r>
      <w:r w:rsidR="00494698">
        <w:t xml:space="preserve">, </w:t>
      </w:r>
      <w:r w:rsidR="00B1617A">
        <w:t xml:space="preserve">and </w:t>
      </w:r>
      <w:r w:rsidR="00494698">
        <w:t xml:space="preserve">managed </w:t>
      </w:r>
      <w:r w:rsidR="006A4A55">
        <w:t>d</w:t>
      </w:r>
      <w:r w:rsidR="00494698">
        <w:t xml:space="preserve">uty </w:t>
      </w:r>
      <w:r w:rsidR="006A4A55">
        <w:t>r</w:t>
      </w:r>
      <w:r w:rsidR="00494698">
        <w:t>equest</w:t>
      </w:r>
      <w:r w:rsidR="000260C8">
        <w:t xml:space="preserve"> </w:t>
      </w:r>
      <w:r w:rsidR="00494698">
        <w:t xml:space="preserve">team and </w:t>
      </w:r>
      <w:r w:rsidR="006A4A55">
        <w:t>p</w:t>
      </w:r>
      <w:r w:rsidR="00494698">
        <w:t>ost-</w:t>
      </w:r>
      <w:r w:rsidR="006A4A55">
        <w:t>e</w:t>
      </w:r>
      <w:r w:rsidR="00494698">
        <w:t>ntry projects</w:t>
      </w:r>
      <w:r w:rsidR="00B1617A">
        <w:t xml:space="preserve">. </w:t>
      </w:r>
      <w:r>
        <w:t xml:space="preserve">Additionally, </w:t>
      </w:r>
      <w:r w:rsidR="00494698">
        <w:t xml:space="preserve">submitted </w:t>
      </w:r>
      <w:r w:rsidR="00905278">
        <w:t>Section</w:t>
      </w:r>
      <w:r w:rsidR="00494698">
        <w:t xml:space="preserve"> </w:t>
      </w:r>
      <w:r w:rsidR="00905278">
        <w:t>301</w:t>
      </w:r>
      <w:r w:rsidR="00494698">
        <w:t xml:space="preserve"> </w:t>
      </w:r>
      <w:r w:rsidR="00905278">
        <w:t>China</w:t>
      </w:r>
      <w:r w:rsidR="000260C8">
        <w:t xml:space="preserve"> </w:t>
      </w:r>
      <w:r w:rsidR="006A4A55">
        <w:t>t</w:t>
      </w:r>
      <w:r w:rsidR="00494698">
        <w:t xml:space="preserve">ariff </w:t>
      </w:r>
      <w:r w:rsidR="006A4A55">
        <w:t>e</w:t>
      </w:r>
      <w:r w:rsidR="00494698">
        <w:t xml:space="preserve">xclusion </w:t>
      </w:r>
      <w:r w:rsidR="006A4A55">
        <w:t>d</w:t>
      </w:r>
      <w:r w:rsidR="00494698">
        <w:t xml:space="preserve">uty </w:t>
      </w:r>
      <w:r w:rsidR="006A4A55">
        <w:t>r</w:t>
      </w:r>
      <w:r w:rsidR="00494698">
        <w:t>efund</w:t>
      </w:r>
      <w:r w:rsidR="000260C8">
        <w:t xml:space="preserve"> requests and </w:t>
      </w:r>
      <w:r w:rsidR="006A4A55">
        <w:t>b</w:t>
      </w:r>
      <w:r w:rsidR="000260C8">
        <w:t>inding</w:t>
      </w:r>
      <w:r w:rsidR="00B1617A">
        <w:t xml:space="preserve"> </w:t>
      </w:r>
      <w:r w:rsidR="006A4A55">
        <w:t>c</w:t>
      </w:r>
      <w:r w:rsidR="000260C8">
        <w:t xml:space="preserve">lassification Ruling requests, </w:t>
      </w:r>
      <w:r w:rsidR="00B1617A">
        <w:t xml:space="preserve">audited import entries, </w:t>
      </w:r>
      <w:r w:rsidR="00250596">
        <w:t xml:space="preserve">trained staff on U.S. CBP/U.S. PGA Regulations, </w:t>
      </w:r>
      <w:r w:rsidR="00494698">
        <w:t xml:space="preserve">and </w:t>
      </w:r>
      <w:r>
        <w:t>identified and</w:t>
      </w:r>
      <w:r w:rsidR="000260C8">
        <w:t xml:space="preserve"> </w:t>
      </w:r>
      <w:r>
        <w:t>resolved customs</w:t>
      </w:r>
      <w:r w:rsidR="00D86E9F">
        <w:t xml:space="preserve"> </w:t>
      </w:r>
      <w:r>
        <w:t>compliance</w:t>
      </w:r>
      <w:r w:rsidR="00494698">
        <w:t xml:space="preserve"> </w:t>
      </w:r>
      <w:r>
        <w:t>issues</w:t>
      </w:r>
      <w:r w:rsidR="00B1617A">
        <w:t xml:space="preserve">. </w:t>
      </w:r>
      <w:r>
        <w:t xml:space="preserve"> </w:t>
      </w:r>
    </w:p>
    <w:p w14:paraId="06A125EB" w14:textId="28B44F76" w:rsidR="006E1F81" w:rsidRDefault="00360214">
      <w:pPr>
        <w:numPr>
          <w:ilvl w:val="0"/>
          <w:numId w:val="1"/>
        </w:numPr>
        <w:ind w:right="36" w:hanging="288"/>
      </w:pPr>
      <w:r>
        <w:t>Increased U.S. CBP</w:t>
      </w:r>
      <w:r w:rsidR="00B1617A">
        <w:t>’</w:t>
      </w:r>
      <w:r>
        <w:t>s post-entry approval rates 75%, by correctly, accurately completing PCS</w:t>
      </w:r>
      <w:r w:rsidR="00B1617A">
        <w:t>’</w:t>
      </w:r>
      <w:r>
        <w:t xml:space="preserve">s and </w:t>
      </w:r>
      <w:r w:rsidR="00905278">
        <w:t>P</w:t>
      </w:r>
      <w:r>
        <w:t xml:space="preserve">rotests, </w:t>
      </w:r>
      <w:r w:rsidR="00B1617A">
        <w:t>result-</w:t>
      </w:r>
      <w:r>
        <w:t xml:space="preserve"> </w:t>
      </w:r>
    </w:p>
    <w:p w14:paraId="6FDC7B4B" w14:textId="176015DE" w:rsidR="00874D46" w:rsidRDefault="00837F0E" w:rsidP="006E1F81">
      <w:pPr>
        <w:ind w:left="576" w:right="36" w:firstLine="0"/>
      </w:pPr>
      <w:r>
        <w:t>i</w:t>
      </w:r>
      <w:r w:rsidR="00B1617A">
        <w:t xml:space="preserve">ng with duty refunds to </w:t>
      </w:r>
      <w:r w:rsidR="00360214">
        <w:t>importers</w:t>
      </w:r>
      <w:r>
        <w:t xml:space="preserve">. </w:t>
      </w:r>
    </w:p>
    <w:p w14:paraId="7872E3E7" w14:textId="77777777" w:rsidR="00874D46" w:rsidRDefault="00360214">
      <w:pPr>
        <w:spacing w:after="46" w:line="259" w:lineRule="auto"/>
        <w:ind w:left="0" w:right="9" w:firstLine="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A9E1844" w14:textId="3E319BDD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 xml:space="preserve">SELDAT DISTRIBUTION, INC. | Fontana, </w:t>
      </w:r>
      <w:r w:rsidR="00507C7C">
        <w:t xml:space="preserve">CA </w:t>
      </w:r>
      <w:r w:rsidR="00507C7C">
        <w:tab/>
      </w:r>
      <w:r>
        <w:t xml:space="preserve">2016 to 2017 </w:t>
      </w:r>
    </w:p>
    <w:p w14:paraId="4E15D294" w14:textId="77777777" w:rsidR="00874D46" w:rsidRDefault="00360214">
      <w:pPr>
        <w:spacing w:after="0" w:line="259" w:lineRule="auto"/>
        <w:ind w:left="1" w:right="0" w:firstLine="0"/>
        <w:jc w:val="center"/>
      </w:pPr>
      <w:r>
        <w:t xml:space="preserve"> </w:t>
      </w:r>
    </w:p>
    <w:p w14:paraId="61BAD366" w14:textId="77777777" w:rsidR="006E1F81" w:rsidRDefault="00360214" w:rsidP="00F03F22">
      <w:pPr>
        <w:pStyle w:val="NoSpacing"/>
      </w:pPr>
      <w:r>
        <w:rPr>
          <w:b/>
        </w:rPr>
        <w:t>Sr. Customs Compliance Consultant</w:t>
      </w:r>
      <w:r>
        <w:t>: Fully developed customs brokerage operations, which encompassed building U.S.</w:t>
      </w:r>
    </w:p>
    <w:p w14:paraId="363C447E" w14:textId="6DD055AB" w:rsidR="00874D46" w:rsidRDefault="00360214" w:rsidP="00F03F22">
      <w:pPr>
        <w:pStyle w:val="NoSpacing"/>
      </w:pPr>
      <w:r>
        <w:t>CBP SOP</w:t>
      </w:r>
      <w:r w:rsidR="00B1617A">
        <w:t>’</w:t>
      </w:r>
      <w:r>
        <w:t>s</w:t>
      </w:r>
      <w:r w:rsidR="00B1617A">
        <w:t xml:space="preserve"> and </w:t>
      </w:r>
      <w:r>
        <w:t>defining work instructions</w:t>
      </w:r>
      <w:r w:rsidR="00B1617A">
        <w:t xml:space="preserve">. </w:t>
      </w:r>
      <w:r>
        <w:t>Additionally, secured ACE</w:t>
      </w:r>
      <w:r w:rsidR="00B1617A">
        <w:t xml:space="preserve"> </w:t>
      </w:r>
      <w:r>
        <w:t>software commitment and</w:t>
      </w:r>
      <w:r w:rsidR="00B1617A">
        <w:t xml:space="preserve"> </w:t>
      </w:r>
      <w:r>
        <w:t xml:space="preserve">surety bond coverage. </w:t>
      </w:r>
    </w:p>
    <w:p w14:paraId="203F9543" w14:textId="77777777" w:rsidR="006B210A" w:rsidRDefault="00360214" w:rsidP="006B210A">
      <w:pPr>
        <w:pStyle w:val="NoSpacing"/>
        <w:numPr>
          <w:ilvl w:val="0"/>
          <w:numId w:val="1"/>
        </w:numPr>
        <w:ind w:left="288" w:right="36"/>
      </w:pPr>
      <w:r>
        <w:t>Established West Coast customs brokerage division, which proved key in saving apparel distribution company</w:t>
      </w:r>
    </w:p>
    <w:p w14:paraId="7AF2ABB4" w14:textId="4B020FD1" w:rsidR="00874D46" w:rsidRDefault="006B210A" w:rsidP="006B210A">
      <w:pPr>
        <w:pStyle w:val="NoSpacing"/>
        <w:ind w:left="288" w:right="36"/>
      </w:pPr>
      <w:r>
        <w:t xml:space="preserve">        </w:t>
      </w:r>
      <w:r w:rsidR="00360214">
        <w:t>$150</w:t>
      </w:r>
      <w:r>
        <w:t xml:space="preserve"> </w:t>
      </w:r>
      <w:r w:rsidR="00360214">
        <w:t xml:space="preserve">per import shipment in sub-contracted entry fees. </w:t>
      </w:r>
    </w:p>
    <w:p w14:paraId="1A46B78A" w14:textId="25BE1A8E" w:rsidR="006E1F81" w:rsidRDefault="006B210A">
      <w:pPr>
        <w:numPr>
          <w:ilvl w:val="0"/>
          <w:numId w:val="2"/>
        </w:numPr>
        <w:ind w:right="36" w:hanging="288"/>
      </w:pPr>
      <w:r>
        <w:t xml:space="preserve">  </w:t>
      </w:r>
      <w:r w:rsidR="00360214">
        <w:t xml:space="preserve">Optimized organizational processes 55% by expanding U.S. CBP/U.S. PGA Regulations staff training, including </w:t>
      </w:r>
    </w:p>
    <w:p w14:paraId="4AB21825" w14:textId="65C711D5" w:rsidR="00874D46" w:rsidRDefault="006B210A" w:rsidP="006E1F81">
      <w:pPr>
        <w:ind w:left="576" w:right="36" w:firstLine="0"/>
      </w:pPr>
      <w:r>
        <w:t xml:space="preserve">  </w:t>
      </w:r>
      <w:r w:rsidR="006E1F81">
        <w:t>a</w:t>
      </w:r>
      <w:r w:rsidR="00360214">
        <w:t xml:space="preserve">dding work instructions. </w:t>
      </w:r>
    </w:p>
    <w:p w14:paraId="2D5511BE" w14:textId="77777777" w:rsidR="00874D46" w:rsidRDefault="00360214">
      <w:pPr>
        <w:spacing w:after="46" w:line="259" w:lineRule="auto"/>
        <w:ind w:left="0" w:right="9" w:firstLine="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39678BF" w14:textId="669A6C6F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 xml:space="preserve">NATIONAL OILWELL VARCO | Orange, </w:t>
      </w:r>
      <w:r w:rsidR="00507C7C">
        <w:t xml:space="preserve">CA </w:t>
      </w:r>
      <w:r w:rsidR="00507C7C">
        <w:tab/>
      </w:r>
      <w:r>
        <w:t xml:space="preserve">2013 to 2016 </w:t>
      </w:r>
    </w:p>
    <w:p w14:paraId="2EA2FF3F" w14:textId="77777777" w:rsidR="00874D46" w:rsidRDefault="00360214">
      <w:pPr>
        <w:spacing w:after="0" w:line="259" w:lineRule="auto"/>
        <w:ind w:left="1" w:right="0" w:firstLine="0"/>
        <w:jc w:val="center"/>
      </w:pPr>
      <w:r>
        <w:t xml:space="preserve"> </w:t>
      </w:r>
    </w:p>
    <w:p w14:paraId="52671AB0" w14:textId="2A42F4FC" w:rsidR="006E1F81" w:rsidRDefault="00360214" w:rsidP="00F03F22">
      <w:pPr>
        <w:pStyle w:val="NoSpacing"/>
      </w:pPr>
      <w:r>
        <w:rPr>
          <w:b/>
        </w:rPr>
        <w:t>Sr. Import Compliance Consultant</w:t>
      </w:r>
      <w:r>
        <w:t xml:space="preserve">: Led import entry auditing, formulated importer letters of instruction, </w:t>
      </w:r>
      <w:r w:rsidR="00F03F22">
        <w:t xml:space="preserve">and </w:t>
      </w:r>
      <w:r>
        <w:t xml:space="preserve">directed </w:t>
      </w:r>
    </w:p>
    <w:p w14:paraId="3E26CEC8" w14:textId="33114930" w:rsidR="00874D46" w:rsidRDefault="00360214" w:rsidP="00F03F22">
      <w:pPr>
        <w:pStyle w:val="NoSpacing"/>
      </w:pPr>
      <w:r>
        <w:t xml:space="preserve">staff training on U.S. CBP Regulations. Additionally, generated monthly </w:t>
      </w:r>
      <w:r w:rsidR="00B1617A">
        <w:t xml:space="preserve">excel </w:t>
      </w:r>
      <w:r>
        <w:t>import compliance</w:t>
      </w:r>
      <w:r w:rsidR="00B1617A">
        <w:t xml:space="preserve"> </w:t>
      </w:r>
      <w:r>
        <w:t>dashboard report</w:t>
      </w:r>
      <w:r w:rsidR="00B1617A">
        <w:t xml:space="preserve">. </w:t>
      </w:r>
      <w:r>
        <w:t xml:space="preserve"> </w:t>
      </w:r>
    </w:p>
    <w:p w14:paraId="7814B111" w14:textId="667B8D16" w:rsidR="00874D46" w:rsidRDefault="00360214" w:rsidP="00250596">
      <w:pPr>
        <w:pStyle w:val="ListParagraph"/>
        <w:numPr>
          <w:ilvl w:val="0"/>
          <w:numId w:val="1"/>
        </w:numPr>
        <w:ind w:left="298"/>
      </w:pPr>
      <w:r>
        <w:lastRenderedPageBreak/>
        <w:t xml:space="preserve">Provided expertise guiding implementation of classification-parts database. </w:t>
      </w:r>
    </w:p>
    <w:p w14:paraId="4CD9CC7D" w14:textId="0F97D11B" w:rsidR="00874D46" w:rsidRDefault="006E1F81">
      <w:pPr>
        <w:numPr>
          <w:ilvl w:val="0"/>
          <w:numId w:val="3"/>
        </w:numPr>
        <w:ind w:right="726" w:hanging="288"/>
      </w:pPr>
      <w:r>
        <w:t>E</w:t>
      </w:r>
      <w:r w:rsidR="00360214">
        <w:t xml:space="preserve">xpanded U.S. CBP Reasonable Care </w:t>
      </w:r>
      <w:r w:rsidR="00837F0E">
        <w:t xml:space="preserve">Guidelines </w:t>
      </w:r>
      <w:r w:rsidR="00360214">
        <w:t>staff training 65%</w:t>
      </w:r>
      <w:r w:rsidR="00F03F22">
        <w:t xml:space="preserve"> by </w:t>
      </w:r>
      <w:r w:rsidR="00360214">
        <w:t xml:space="preserve">structuring and leading workshops. </w:t>
      </w:r>
    </w:p>
    <w:p w14:paraId="5A86C63A" w14:textId="77777777" w:rsidR="00874D46" w:rsidRDefault="00360214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7F6F91B5" w14:textId="7C9E98BC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 xml:space="preserve">CROWLEY LOGISTICS, INC. | San Pedro, </w:t>
      </w:r>
      <w:r w:rsidR="00507C7C">
        <w:t xml:space="preserve">CA </w:t>
      </w:r>
      <w:r w:rsidR="00507C7C">
        <w:tab/>
      </w:r>
      <w:r>
        <w:t xml:space="preserve">2009 to 2011 </w:t>
      </w:r>
    </w:p>
    <w:p w14:paraId="7635C982" w14:textId="77777777" w:rsidR="00874D46" w:rsidRDefault="00360214">
      <w:pPr>
        <w:spacing w:after="0" w:line="259" w:lineRule="auto"/>
        <w:ind w:left="0" w:right="0" w:firstLine="0"/>
        <w:jc w:val="center"/>
      </w:pPr>
      <w:r>
        <w:rPr>
          <w:i/>
        </w:rPr>
        <w:t xml:space="preserve"> </w:t>
      </w:r>
    </w:p>
    <w:p w14:paraId="575D8952" w14:textId="77777777" w:rsidR="006E1F81" w:rsidRDefault="00360214" w:rsidP="00F03F22">
      <w:pPr>
        <w:pStyle w:val="NoSpacing"/>
      </w:pPr>
      <w:r>
        <w:rPr>
          <w:b/>
        </w:rPr>
        <w:t>Customs Compliance Manager</w:t>
      </w:r>
      <w:r>
        <w:t xml:space="preserve">: Installed as licensed customs broker to ensure retention of Crowley Logistics, Inc.’s </w:t>
      </w:r>
    </w:p>
    <w:p w14:paraId="36DFC6B1" w14:textId="77777777" w:rsidR="00F8569B" w:rsidRDefault="00360214" w:rsidP="00F03F22">
      <w:pPr>
        <w:pStyle w:val="NoSpacing"/>
      </w:pPr>
      <w:r>
        <w:t>operating permit. Fully-directed customs brokerage</w:t>
      </w:r>
      <w:r w:rsidR="00F8569B">
        <w:t xml:space="preserve"> and </w:t>
      </w:r>
      <w:r>
        <w:t>breakbulk</w:t>
      </w:r>
      <w:r w:rsidR="00F8569B">
        <w:t xml:space="preserve"> operations. </w:t>
      </w:r>
      <w:r>
        <w:t xml:space="preserve">Scope also </w:t>
      </w:r>
      <w:r w:rsidR="008D271C">
        <w:rPr>
          <w:bCs/>
        </w:rPr>
        <w:t xml:space="preserve">encompassed </w:t>
      </w:r>
      <w:r w:rsidR="00EA3BED">
        <w:t xml:space="preserve">building </w:t>
      </w:r>
      <w:r w:rsidR="00F8569B">
        <w:t xml:space="preserve">excel </w:t>
      </w:r>
    </w:p>
    <w:p w14:paraId="23C76081" w14:textId="37CE6ADB" w:rsidR="00375859" w:rsidRDefault="00EA3BED" w:rsidP="00F03F22">
      <w:pPr>
        <w:pStyle w:val="NoSpacing"/>
      </w:pPr>
      <w:r>
        <w:t xml:space="preserve">spreadsheets, auditing import entries, </w:t>
      </w:r>
      <w:r w:rsidR="00F8569B">
        <w:t>training staff in U.S. CBP</w:t>
      </w:r>
      <w:r w:rsidR="00250596">
        <w:t>/</w:t>
      </w:r>
      <w:r w:rsidR="00F8569B">
        <w:t xml:space="preserve">U.S. FDA Regulations, </w:t>
      </w:r>
      <w:r>
        <w:t xml:space="preserve">and </w:t>
      </w:r>
      <w:r w:rsidR="00A47267">
        <w:t>t</w:t>
      </w:r>
      <w:r>
        <w:t xml:space="preserve">ransmitting </w:t>
      </w:r>
      <w:r w:rsidR="00F8569B">
        <w:t>ACH duty</w:t>
      </w:r>
      <w:r w:rsidR="00E81E7B">
        <w:t xml:space="preserve"> stmts.</w:t>
      </w:r>
    </w:p>
    <w:p w14:paraId="49BF6F57" w14:textId="77777777" w:rsidR="00A47267" w:rsidRDefault="00360214">
      <w:pPr>
        <w:numPr>
          <w:ilvl w:val="0"/>
          <w:numId w:val="4"/>
        </w:numPr>
        <w:ind w:right="36" w:hanging="288"/>
      </w:pPr>
      <w:r>
        <w:t xml:space="preserve">Integrally contributed to importer retaining $122K, by issuing pro-forma invoice as substitute for import </w:t>
      </w:r>
    </w:p>
    <w:p w14:paraId="63EA8C86" w14:textId="4F3545B1" w:rsidR="00874D46" w:rsidRDefault="00360214" w:rsidP="00A47267">
      <w:pPr>
        <w:ind w:left="576" w:right="36" w:firstLine="0"/>
      </w:pPr>
      <w:r>
        <w:t xml:space="preserve">commercial invoice. Garnered U.S. CBP approval, allowing for release and shipment delivery to importer’s client. </w:t>
      </w:r>
    </w:p>
    <w:p w14:paraId="5E489834" w14:textId="77777777" w:rsidR="008442B1" w:rsidRDefault="00360214" w:rsidP="00BC0A5B">
      <w:pPr>
        <w:numPr>
          <w:ilvl w:val="0"/>
          <w:numId w:val="4"/>
        </w:numPr>
        <w:spacing w:after="2" w:line="240" w:lineRule="auto"/>
        <w:ind w:left="288" w:right="36" w:firstLine="0"/>
      </w:pPr>
      <w:r>
        <w:t xml:space="preserve">Met U.S. CBP specialists for weekly </w:t>
      </w:r>
      <w:r w:rsidR="008442B1">
        <w:t xml:space="preserve">nighttime </w:t>
      </w:r>
      <w:r w:rsidR="00BC0A5B">
        <w:t xml:space="preserve">Agricultural Inspection </w:t>
      </w:r>
      <w:r w:rsidR="00E47B4D">
        <w:t xml:space="preserve">exams </w:t>
      </w:r>
      <w:r>
        <w:t>for 9 months at air carrier's Los</w:t>
      </w:r>
    </w:p>
    <w:p w14:paraId="47AE619B" w14:textId="77777777" w:rsidR="008442B1" w:rsidRDefault="008442B1" w:rsidP="00BC0A5B">
      <w:pPr>
        <w:spacing w:after="2" w:line="240" w:lineRule="auto"/>
        <w:ind w:left="288" w:right="36" w:firstLine="0"/>
      </w:pPr>
      <w:r>
        <w:t xml:space="preserve">       </w:t>
      </w:r>
      <w:r w:rsidR="00360214">
        <w:t xml:space="preserve"> Angeles Int'l</w:t>
      </w:r>
      <w:r>
        <w:t xml:space="preserve"> </w:t>
      </w:r>
      <w:r w:rsidR="00360214">
        <w:t xml:space="preserve">Airport (LAX) warehouse </w:t>
      </w:r>
      <w:r w:rsidR="00E47B4D">
        <w:t xml:space="preserve">for </w:t>
      </w:r>
      <w:r w:rsidR="00360214">
        <w:t xml:space="preserve">imported </w:t>
      </w:r>
      <w:r w:rsidR="00BC0A5B">
        <w:t xml:space="preserve">perishable </w:t>
      </w:r>
      <w:r>
        <w:t xml:space="preserve">fruit </w:t>
      </w:r>
      <w:r w:rsidR="00360214">
        <w:t xml:space="preserve">and </w:t>
      </w:r>
      <w:r w:rsidR="00BC0A5B">
        <w:t xml:space="preserve">advised </w:t>
      </w:r>
      <w:r w:rsidR="00360214">
        <w:t xml:space="preserve">importer if </w:t>
      </w:r>
      <w:r>
        <w:t>U.S. CBP released</w:t>
      </w:r>
    </w:p>
    <w:p w14:paraId="604E08E4" w14:textId="43654429" w:rsidR="008442B1" w:rsidRDefault="008442B1" w:rsidP="00BC0A5B">
      <w:pPr>
        <w:spacing w:after="2" w:line="240" w:lineRule="auto"/>
        <w:ind w:left="288" w:right="36" w:firstLine="0"/>
      </w:pPr>
      <w:r>
        <w:t xml:space="preserve">        shipments or if U.S. CBP required fumigation treatment before releasing the shipments.</w:t>
      </w:r>
    </w:p>
    <w:p w14:paraId="6D58FAAC" w14:textId="1EF4B4AF" w:rsidR="00874D46" w:rsidRDefault="008442B1" w:rsidP="008442B1">
      <w:pPr>
        <w:spacing w:after="2" w:line="240" w:lineRule="auto"/>
        <w:ind w:left="288" w:right="36" w:firstLine="0"/>
      </w:pPr>
      <w:r>
        <w:t xml:space="preserve">        </w:t>
      </w:r>
      <w:r w:rsidR="00BC0A5B">
        <w:t xml:space="preserve">        </w:t>
      </w:r>
      <w:r w:rsidR="00360214">
        <w:t xml:space="preserve">  </w:t>
      </w:r>
    </w:p>
    <w:p w14:paraId="09957F11" w14:textId="69E1F0B2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 xml:space="preserve">VANTAGE POINT SERVICES | Los Angeles, </w:t>
      </w:r>
      <w:r w:rsidR="00507C7C">
        <w:t xml:space="preserve">CA </w:t>
      </w:r>
      <w:r w:rsidR="00507C7C">
        <w:tab/>
      </w:r>
      <w:r>
        <w:t xml:space="preserve">2006 to 2008 </w:t>
      </w:r>
    </w:p>
    <w:p w14:paraId="473855EA" w14:textId="77777777" w:rsidR="00874D46" w:rsidRDefault="00360214">
      <w:pPr>
        <w:spacing w:after="0" w:line="259" w:lineRule="auto"/>
        <w:ind w:left="1" w:right="0" w:firstLine="0"/>
        <w:jc w:val="center"/>
      </w:pPr>
      <w:r>
        <w:rPr>
          <w:i/>
        </w:rPr>
        <w:t xml:space="preserve"> </w:t>
      </w:r>
    </w:p>
    <w:p w14:paraId="38ED1F45" w14:textId="77777777" w:rsidR="00F8569B" w:rsidRDefault="00360214" w:rsidP="00F03F22">
      <w:pPr>
        <w:pStyle w:val="NoSpacing"/>
      </w:pPr>
      <w:r>
        <w:rPr>
          <w:b/>
        </w:rPr>
        <w:t>Customs Compliance Manager</w:t>
      </w:r>
      <w:r>
        <w:t xml:space="preserve">: As expert licensed customs broker, principally directed </w:t>
      </w:r>
      <w:r w:rsidR="00F8569B">
        <w:t xml:space="preserve">customs brokerage </w:t>
      </w:r>
      <w:r>
        <w:t xml:space="preserve">operations, </w:t>
      </w:r>
    </w:p>
    <w:p w14:paraId="5744C853" w14:textId="6A53207A" w:rsidR="00874D46" w:rsidRDefault="00360214" w:rsidP="00F03F22">
      <w:pPr>
        <w:pStyle w:val="NoSpacing"/>
      </w:pPr>
      <w:r>
        <w:t xml:space="preserve">audited </w:t>
      </w:r>
      <w:r w:rsidR="00F8569B">
        <w:t xml:space="preserve">import </w:t>
      </w:r>
      <w:r>
        <w:t xml:space="preserve">entries, and filed ACH </w:t>
      </w:r>
      <w:r w:rsidR="00F8569B">
        <w:t xml:space="preserve">duty </w:t>
      </w:r>
      <w:r>
        <w:t xml:space="preserve">statements, protests, binding </w:t>
      </w:r>
      <w:r w:rsidR="00F8569B">
        <w:t xml:space="preserve">classification </w:t>
      </w:r>
      <w:r>
        <w:t xml:space="preserve">ruling request letters. </w:t>
      </w:r>
      <w:r w:rsidR="00F8569B">
        <w:t xml:space="preserve">Actively trained staff in U.S. CBP and U.S. FDA Regulations, and </w:t>
      </w:r>
      <w:r w:rsidR="005D2A77">
        <w:t>identified and resolved customs compliance issues.</w:t>
      </w:r>
      <w:r>
        <w:t xml:space="preserve"> </w:t>
      </w:r>
    </w:p>
    <w:p w14:paraId="534A13A9" w14:textId="77777777" w:rsidR="006E1F81" w:rsidRDefault="00360214">
      <w:pPr>
        <w:numPr>
          <w:ilvl w:val="0"/>
          <w:numId w:val="5"/>
        </w:numPr>
        <w:spacing w:after="2" w:line="240" w:lineRule="auto"/>
        <w:ind w:right="129" w:hanging="288"/>
        <w:jc w:val="left"/>
      </w:pPr>
      <w:r>
        <w:t xml:space="preserve">For an urgent semi-conductor production machine shipment imported from Europe after hours, transmitted and </w:t>
      </w:r>
    </w:p>
    <w:p w14:paraId="64BB1480" w14:textId="77777777" w:rsidR="006E1F81" w:rsidRDefault="00360214" w:rsidP="006E1F81">
      <w:pPr>
        <w:spacing w:after="2" w:line="240" w:lineRule="auto"/>
        <w:ind w:left="569" w:right="129" w:firstLine="0"/>
        <w:jc w:val="left"/>
      </w:pPr>
      <w:r>
        <w:t>presented entry documents to U.S. CBP, received their agency's release, dropped off release/delivery documents</w:t>
      </w:r>
    </w:p>
    <w:p w14:paraId="3A515E64" w14:textId="780E6CDB" w:rsidR="00874D46" w:rsidRDefault="00360214" w:rsidP="006E1F81">
      <w:pPr>
        <w:spacing w:after="2" w:line="240" w:lineRule="auto"/>
        <w:ind w:left="569" w:right="129" w:firstLine="0"/>
        <w:jc w:val="left"/>
      </w:pPr>
      <w:r>
        <w:t xml:space="preserve">at Cargolux's LAX warehouse for importer's trucker, and notified the importer.    </w:t>
      </w:r>
    </w:p>
    <w:p w14:paraId="42B33CBB" w14:textId="48F8DE51" w:rsidR="006E1F81" w:rsidRDefault="00701128">
      <w:pPr>
        <w:numPr>
          <w:ilvl w:val="0"/>
          <w:numId w:val="5"/>
        </w:numPr>
        <w:ind w:right="129" w:hanging="288"/>
        <w:jc w:val="left"/>
      </w:pPr>
      <w:r>
        <w:t xml:space="preserve">Elevated U.S. CBP/U.S. PGA Regulations staff training to mandatory, which increased the training by 60%, and </w:t>
      </w:r>
    </w:p>
    <w:p w14:paraId="2B884CD6" w14:textId="09C65940" w:rsidR="00FB4B55" w:rsidRPr="00FB4B55" w:rsidRDefault="00701128" w:rsidP="00FB4B55">
      <w:pPr>
        <w:ind w:left="569" w:right="129" w:firstLine="0"/>
        <w:jc w:val="left"/>
        <w:rPr>
          <w:rFonts w:ascii="Segoe UI" w:hAnsi="Segoe UI" w:cs="Segoe UI"/>
          <w:sz w:val="21"/>
          <w:szCs w:val="21"/>
          <w:shd w:val="clear" w:color="auto" w:fill="FFFFFF"/>
        </w:rPr>
      </w:pPr>
      <w:r>
        <w:t xml:space="preserve">instituted weekly operations department meetings. </w:t>
      </w:r>
      <w:r w:rsidR="00FB4B55" w:rsidRPr="00FB4B55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0977C04D" w14:textId="77777777" w:rsidR="00874D46" w:rsidRDefault="00360214" w:rsidP="0070112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18F92D" w14:textId="5B958F40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 xml:space="preserve">I-LOGISTICS USA CORPORATION | Torrance, </w:t>
      </w:r>
      <w:r w:rsidR="00507C7C">
        <w:t xml:space="preserve">CA </w:t>
      </w:r>
      <w:r w:rsidR="00507C7C">
        <w:tab/>
      </w:r>
      <w:r>
        <w:t xml:space="preserve">2004 to 2005 </w:t>
      </w:r>
    </w:p>
    <w:p w14:paraId="231C1DD3" w14:textId="77777777" w:rsidR="00874D46" w:rsidRDefault="00360214">
      <w:pPr>
        <w:spacing w:after="0" w:line="259" w:lineRule="auto"/>
        <w:ind w:left="1" w:right="0" w:firstLine="0"/>
        <w:jc w:val="center"/>
      </w:pPr>
      <w:r>
        <w:rPr>
          <w:i/>
        </w:rPr>
        <w:t xml:space="preserve"> </w:t>
      </w:r>
    </w:p>
    <w:p w14:paraId="39260BC7" w14:textId="0E5B4546" w:rsidR="00F8569B" w:rsidRDefault="00360214" w:rsidP="00F03F22">
      <w:pPr>
        <w:pStyle w:val="NoSpacing"/>
      </w:pPr>
      <w:r>
        <w:rPr>
          <w:b/>
        </w:rPr>
        <w:t xml:space="preserve">Customs Compliance </w:t>
      </w:r>
      <w:r w:rsidR="00DA7824">
        <w:rPr>
          <w:b/>
        </w:rPr>
        <w:t>Consultant</w:t>
      </w:r>
      <w:r>
        <w:t xml:space="preserve">: Recruited to provide </w:t>
      </w:r>
      <w:r w:rsidR="00E47B4D">
        <w:t xml:space="preserve">customs brokerage </w:t>
      </w:r>
      <w:r>
        <w:t xml:space="preserve">operations expertise, </w:t>
      </w:r>
      <w:r w:rsidR="00E47B4D">
        <w:t xml:space="preserve">including </w:t>
      </w:r>
      <w:r>
        <w:t>develop</w:t>
      </w:r>
      <w:r w:rsidR="00E47B4D">
        <w:t>ing</w:t>
      </w:r>
      <w:r>
        <w:t xml:space="preserve"> SOP</w:t>
      </w:r>
      <w:r w:rsidR="00E47B4D">
        <w:t>’</w:t>
      </w:r>
      <w:r>
        <w:t xml:space="preserve">s, </w:t>
      </w:r>
      <w:r w:rsidR="00E47B4D">
        <w:t xml:space="preserve">training </w:t>
      </w:r>
      <w:r>
        <w:t>staff</w:t>
      </w:r>
      <w:r w:rsidR="00E47B4D">
        <w:t xml:space="preserve"> </w:t>
      </w:r>
      <w:r>
        <w:t xml:space="preserve">in </w:t>
      </w:r>
      <w:r w:rsidR="00E47B4D">
        <w:t>U</w:t>
      </w:r>
      <w:r>
        <w:t xml:space="preserve">.S. CBP and U.S. FDA Regulations, </w:t>
      </w:r>
      <w:r w:rsidR="00E47B4D">
        <w:t xml:space="preserve">plus assigning product </w:t>
      </w:r>
      <w:r>
        <w:t>classification</w:t>
      </w:r>
      <w:r w:rsidR="00E47B4D">
        <w:t>s</w:t>
      </w:r>
      <w:r>
        <w:t xml:space="preserve">, </w:t>
      </w:r>
      <w:r w:rsidR="00F8569B">
        <w:t>a</w:t>
      </w:r>
      <w:r w:rsidR="00E47B4D">
        <w:t xml:space="preserve">uditing </w:t>
      </w:r>
      <w:r>
        <w:t xml:space="preserve">import </w:t>
      </w:r>
      <w:r w:rsidR="00E47B4D">
        <w:t>entries</w:t>
      </w:r>
      <w:r w:rsidR="00F8569B">
        <w:t>, and identifying and resolving customs compliance issues.</w:t>
      </w:r>
    </w:p>
    <w:p w14:paraId="10CD5577" w14:textId="48EECCBC" w:rsidR="00A47267" w:rsidRDefault="00360214" w:rsidP="00F03F22">
      <w:pPr>
        <w:pStyle w:val="NoSpacing"/>
        <w:ind w:left="288"/>
      </w:pPr>
      <w:r>
        <w:t xml:space="preserve"> </w:t>
      </w:r>
      <w:r>
        <w:rPr>
          <w:rFonts w:ascii="Wingdings" w:eastAsia="Wingdings" w:hAnsi="Wingdings" w:cs="Wingdings"/>
          <w:color w:val="C1AD85"/>
          <w:sz w:val="12"/>
        </w:rPr>
        <w:t></w:t>
      </w:r>
      <w:r>
        <w:rPr>
          <w:rFonts w:ascii="Arial" w:eastAsia="Arial" w:hAnsi="Arial" w:cs="Arial"/>
          <w:color w:val="C1AD85"/>
          <w:sz w:val="12"/>
        </w:rPr>
        <w:t xml:space="preserve"> </w:t>
      </w:r>
      <w:r w:rsidR="00F03F22">
        <w:rPr>
          <w:rFonts w:ascii="Arial" w:eastAsia="Arial" w:hAnsi="Arial" w:cs="Arial"/>
          <w:color w:val="C1AD85"/>
          <w:sz w:val="12"/>
        </w:rPr>
        <w:t xml:space="preserve">    </w:t>
      </w:r>
      <w:r>
        <w:t>Resolved risk issue by structuring the filing and daily transmission of ACH duty statements to U.S. CBP,</w:t>
      </w:r>
      <w:r w:rsidR="00F8569B">
        <w:t xml:space="preserve"> ensuring</w:t>
      </w:r>
      <w:r>
        <w:t xml:space="preserve"> </w:t>
      </w:r>
    </w:p>
    <w:p w14:paraId="6AC48A8D" w14:textId="5044285D" w:rsidR="00874D46" w:rsidRDefault="00A47267" w:rsidP="00837F0E">
      <w:pPr>
        <w:ind w:left="576" w:right="36" w:hanging="288"/>
      </w:pPr>
      <w:r>
        <w:rPr>
          <w:rFonts w:ascii="Wingdings" w:eastAsia="Wingdings" w:hAnsi="Wingdings" w:cs="Wingdings"/>
          <w:color w:val="C1AD85"/>
          <w:sz w:val="12"/>
        </w:rPr>
        <w:t></w:t>
      </w:r>
      <w:r>
        <w:rPr>
          <w:rFonts w:ascii="Wingdings" w:eastAsia="Wingdings" w:hAnsi="Wingdings" w:cs="Wingdings"/>
          <w:color w:val="C1AD85"/>
          <w:sz w:val="12"/>
        </w:rPr>
        <w:t></w:t>
      </w:r>
      <w:r w:rsidR="00360214">
        <w:t xml:space="preserve"> statements were complete, accurate, and timely. Also filed protests and binding </w:t>
      </w:r>
      <w:r w:rsidR="00E47B4D">
        <w:t>classif</w:t>
      </w:r>
      <w:r w:rsidR="006A4A55">
        <w:t xml:space="preserve">. </w:t>
      </w:r>
      <w:r w:rsidR="00360214">
        <w:t>ruling request</w:t>
      </w:r>
      <w:r w:rsidR="00837F0E">
        <w:t xml:space="preserve"> letters.</w:t>
      </w:r>
    </w:p>
    <w:p w14:paraId="3EF16E06" w14:textId="77777777" w:rsidR="00874D46" w:rsidRDefault="00360214">
      <w:pPr>
        <w:spacing w:after="63" w:line="259" w:lineRule="auto"/>
        <w:ind w:left="-2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E4E7C39" wp14:editId="2400A539">
                <wp:extent cx="6893560" cy="38100"/>
                <wp:effectExtent l="0" t="0" r="0" b="0"/>
                <wp:docPr id="2601" name="Group 2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45" name="Shape 3945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1" style="width:542.8pt;height:3pt;mso-position-horizontal-relative:char;mso-position-vertical-relative:line" coordsize="68935,381">
                <v:shape id="Shape 3946" style="position:absolute;width:68935;height:381;left:0;top:0;" coordsize="6893560,38100" path="m0,0l6893560,0l6893560,38100l0,38100l0,0">
                  <v:stroke weight="0pt" endcap="round" joinstyle="miter" miterlimit="8" on="false" color="#000000" opacity="0"/>
                  <v:fill on="true" color="#c1ad85"/>
                </v:shape>
              </v:group>
            </w:pict>
          </mc:Fallback>
        </mc:AlternateContent>
      </w:r>
    </w:p>
    <w:p w14:paraId="4F16B5CB" w14:textId="470A5FE7" w:rsidR="00874D46" w:rsidRDefault="00A47267" w:rsidP="00A47267">
      <w:pPr>
        <w:pStyle w:val="Heading1"/>
        <w:numPr>
          <w:ilvl w:val="0"/>
          <w:numId w:val="0"/>
        </w:numPr>
        <w:ind w:right="92"/>
      </w:pPr>
      <w:r>
        <w:t xml:space="preserve">                                                                                              </w:t>
      </w:r>
      <w:r w:rsidR="00360214">
        <w:t>E D U C A T I O N</w:t>
      </w:r>
    </w:p>
    <w:p w14:paraId="35490FE1" w14:textId="77777777" w:rsidR="00874D46" w:rsidRDefault="00360214" w:rsidP="00A47267">
      <w:pPr>
        <w:spacing w:after="0" w:line="259" w:lineRule="auto"/>
        <w:ind w:left="-28" w:right="2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7CF41C4" wp14:editId="751ACFAC">
                <wp:extent cx="6893560" cy="38100"/>
                <wp:effectExtent l="0" t="0" r="0" b="0"/>
                <wp:docPr id="2602" name="Group 2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47" name="Shape 3947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2" style="width:542.8pt;height:3pt;mso-position-horizontal-relative:char;mso-position-vertical-relative:line" coordsize="68935,381">
                <v:shape id="Shape 3948" style="position:absolute;width:68935;height:381;left:0;top:0;" coordsize="6893560,38100" path="m0,0l6893560,0l6893560,38100l0,38100l0,0">
                  <v:stroke weight="0pt" endcap="round" joinstyle="miter" miterlimit="8" on="false" color="#000000" opacity="0"/>
                  <v:fill on="true" color="#c1ad85"/>
                </v:shape>
              </v:group>
            </w:pict>
          </mc:Fallback>
        </mc:AlternateContent>
      </w:r>
      <w:r>
        <w:t xml:space="preserve"> </w:t>
      </w:r>
    </w:p>
    <w:p w14:paraId="4EF2EA21" w14:textId="43ABBB41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>BA,</w:t>
      </w:r>
      <w:r>
        <w:rPr>
          <w:sz w:val="18"/>
        </w:rPr>
        <w:t xml:space="preserve"> </w:t>
      </w:r>
      <w:r>
        <w:t>C</w:t>
      </w:r>
      <w:r>
        <w:rPr>
          <w:sz w:val="18"/>
        </w:rPr>
        <w:t>OMMUNICATIONS</w:t>
      </w:r>
      <w:r w:rsidR="00A47267">
        <w:rPr>
          <w:sz w:val="18"/>
        </w:rPr>
        <w:t xml:space="preserve">: </w:t>
      </w:r>
      <w:r>
        <w:t>P</w:t>
      </w:r>
      <w:r>
        <w:rPr>
          <w:sz w:val="18"/>
        </w:rPr>
        <w:t xml:space="preserve">UBLIC </w:t>
      </w:r>
      <w:r>
        <w:t>R</w:t>
      </w:r>
      <w:r>
        <w:rPr>
          <w:sz w:val="18"/>
        </w:rPr>
        <w:t>ELATIONS</w:t>
      </w:r>
      <w:r>
        <w:t xml:space="preserve"> | California State </w:t>
      </w:r>
      <w:r w:rsidR="00507C7C">
        <w:t xml:space="preserve">University </w:t>
      </w:r>
      <w:r w:rsidR="00507C7C">
        <w:tab/>
      </w:r>
      <w:r>
        <w:t>Fullerton, CA</w:t>
      </w:r>
      <w:r>
        <w:rPr>
          <w:b w:val="0"/>
          <w:i/>
        </w:rPr>
        <w:t xml:space="preserve"> </w:t>
      </w:r>
    </w:p>
    <w:p w14:paraId="0B9A77B9" w14:textId="77777777" w:rsidR="00A47267" w:rsidRDefault="00360214">
      <w:pPr>
        <w:spacing w:after="0" w:line="240" w:lineRule="auto"/>
        <w:ind w:left="288" w:right="0" w:firstLine="0"/>
        <w:jc w:val="left"/>
        <w:rPr>
          <w:i/>
        </w:rPr>
      </w:pPr>
      <w:r>
        <w:rPr>
          <w:i/>
        </w:rPr>
        <w:t>Government Relations Manager for Department of Communications student group that promoted the department</w:t>
      </w:r>
    </w:p>
    <w:p w14:paraId="580CC117" w14:textId="3FEFB758" w:rsidR="00874D46" w:rsidRDefault="00360214">
      <w:pPr>
        <w:spacing w:after="0" w:line="240" w:lineRule="auto"/>
        <w:ind w:left="288" w:right="0" w:firstLine="0"/>
        <w:jc w:val="left"/>
      </w:pPr>
      <w:r>
        <w:rPr>
          <w:i/>
        </w:rPr>
        <w:t xml:space="preserve">during the annual "Communications Week" to local, state, and federal government officials. </w:t>
      </w:r>
    </w:p>
    <w:p w14:paraId="7C5865AB" w14:textId="77777777" w:rsidR="00874D46" w:rsidRDefault="00360214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66415AEA" w14:textId="77777777" w:rsidR="00874D46" w:rsidRDefault="00360214">
      <w:pPr>
        <w:spacing w:after="63" w:line="259" w:lineRule="auto"/>
        <w:ind w:left="-2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09DE0AA" wp14:editId="63C091E1">
                <wp:extent cx="6893560" cy="38100"/>
                <wp:effectExtent l="0" t="0" r="0" b="0"/>
                <wp:docPr id="2603" name="Group 2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49" name="Shape 3949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3" style="width:542.8pt;height:3pt;mso-position-horizontal-relative:char;mso-position-vertical-relative:line" coordsize="68935,381">
                <v:shape id="Shape 3950" style="position:absolute;width:68935;height:381;left:0;top:0;" coordsize="6893560,38100" path="m0,0l6893560,0l6893560,38100l0,38100l0,0">
                  <v:stroke weight="0pt" endcap="round" joinstyle="miter" miterlimit="8" on="false" color="#000000" opacity="0"/>
                  <v:fill on="true" color="#c1ad85"/>
                </v:shape>
              </v:group>
            </w:pict>
          </mc:Fallback>
        </mc:AlternateContent>
      </w:r>
    </w:p>
    <w:p w14:paraId="74499E58" w14:textId="440466B1" w:rsidR="00874D46" w:rsidRDefault="00A47267" w:rsidP="00A47267">
      <w:pPr>
        <w:pStyle w:val="Heading1"/>
        <w:numPr>
          <w:ilvl w:val="0"/>
          <w:numId w:val="0"/>
        </w:numPr>
        <w:ind w:left="132" w:right="90"/>
      </w:pPr>
      <w:r>
        <w:t xml:space="preserve">                                                                                           L </w:t>
      </w:r>
      <w:r w:rsidR="00360214">
        <w:t xml:space="preserve">I C E N S U R E </w:t>
      </w:r>
    </w:p>
    <w:p w14:paraId="474C7FEB" w14:textId="77777777" w:rsidR="00874D46" w:rsidRDefault="00360214">
      <w:pPr>
        <w:tabs>
          <w:tab w:val="right" w:pos="10850"/>
        </w:tabs>
        <w:spacing w:after="0" w:line="259" w:lineRule="auto"/>
        <w:ind w:left="-2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DA94073" wp14:editId="111A6235">
                <wp:extent cx="6893560" cy="38100"/>
                <wp:effectExtent l="0" t="0" r="0" b="0"/>
                <wp:docPr id="2604" name="Group 2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53" name="Shape 3953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4" style="width:542.8pt;height:3pt;mso-position-horizontal-relative:char;mso-position-vertical-relative:line" coordsize="68935,381">
                <v:shape id="Shape 3954" style="position:absolute;width:68935;height:381;left:0;top:0;" coordsize="6893560,38100" path="m0,0l6893560,0l6893560,38100l0,38100l0,0">
                  <v:stroke weight="0pt" endcap="round" joinstyle="miter" miterlimit="8" on="false" color="#000000" opacity="0"/>
                  <v:fill on="true" color="#c1ad85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5CD42E37" w14:textId="25A28D46" w:rsidR="00874D46" w:rsidRDefault="00360214">
      <w:pPr>
        <w:tabs>
          <w:tab w:val="right" w:pos="10850"/>
        </w:tabs>
        <w:ind w:left="-14" w:right="0" w:firstLine="0"/>
        <w:jc w:val="left"/>
      </w:pPr>
      <w:r>
        <w:t xml:space="preserve">Licensed Customs Broker, Serial No. 13191 | Dept. of </w:t>
      </w:r>
      <w:r w:rsidR="0024617C">
        <w:t xml:space="preserve">Homeland Security, </w:t>
      </w:r>
      <w:r>
        <w:t xml:space="preserve">U.S. </w:t>
      </w:r>
      <w:r w:rsidR="0024617C">
        <w:t xml:space="preserve">CBP, </w:t>
      </w:r>
      <w:r>
        <w:t xml:space="preserve">Washington, DC  </w:t>
      </w:r>
    </w:p>
    <w:p w14:paraId="4E884436" w14:textId="52407BB0" w:rsidR="00A47267" w:rsidRDefault="00360214" w:rsidP="00D25FC0">
      <w:pPr>
        <w:spacing w:after="0" w:line="259" w:lineRule="auto"/>
        <w:ind w:left="0" w:right="0" w:firstLine="0"/>
        <w:jc w:val="left"/>
      </w:pPr>
      <w:r>
        <w:t>Certified Customs Specialist, ID No. 14516 | National Customs Brokers &amp; Forwarders Association of America, Inc.</w:t>
      </w:r>
      <w:r w:rsidR="00A47267">
        <w:t xml:space="preserve">, </w:t>
      </w:r>
    </w:p>
    <w:p w14:paraId="6F465204" w14:textId="40671B1F" w:rsidR="00874D46" w:rsidRDefault="00A47267">
      <w:pPr>
        <w:ind w:left="-4" w:right="36"/>
      </w:pPr>
      <w:r>
        <w:t>Washington</w:t>
      </w:r>
      <w:r w:rsidR="00360214">
        <w:t xml:space="preserve">, DC </w:t>
      </w:r>
    </w:p>
    <w:p w14:paraId="77C5606E" w14:textId="77777777" w:rsidR="00874D46" w:rsidRDefault="00360214">
      <w:pPr>
        <w:spacing w:after="0" w:line="259" w:lineRule="auto"/>
        <w:ind w:left="288" w:right="0" w:firstLine="0"/>
        <w:jc w:val="left"/>
      </w:pPr>
      <w:r>
        <w:t xml:space="preserve"> </w:t>
      </w:r>
    </w:p>
    <w:sectPr w:rsidR="00874D46">
      <w:pgSz w:w="12240" w:h="15840"/>
      <w:pgMar w:top="1021" w:right="670" w:bottom="124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C637A" w14:textId="77777777" w:rsidR="00785A71" w:rsidRDefault="00785A71" w:rsidP="00881978">
      <w:pPr>
        <w:spacing w:after="0" w:line="240" w:lineRule="auto"/>
      </w:pPr>
      <w:r>
        <w:separator/>
      </w:r>
    </w:p>
  </w:endnote>
  <w:endnote w:type="continuationSeparator" w:id="0">
    <w:p w14:paraId="547E9370" w14:textId="77777777" w:rsidR="00785A71" w:rsidRDefault="00785A71" w:rsidP="0088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30127" w14:textId="77777777" w:rsidR="00785A71" w:rsidRDefault="00785A71" w:rsidP="00881978">
      <w:pPr>
        <w:spacing w:after="0" w:line="240" w:lineRule="auto"/>
      </w:pPr>
      <w:r>
        <w:separator/>
      </w:r>
    </w:p>
  </w:footnote>
  <w:footnote w:type="continuationSeparator" w:id="0">
    <w:p w14:paraId="65E7525C" w14:textId="77777777" w:rsidR="00785A71" w:rsidRDefault="00785A71" w:rsidP="00881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923D4"/>
    <w:multiLevelType w:val="hybridMultilevel"/>
    <w:tmpl w:val="7E2CE640"/>
    <w:lvl w:ilvl="0" w:tplc="AD3E9176">
      <w:start w:val="1"/>
      <w:numFmt w:val="bullet"/>
      <w:lvlText w:val="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970EE46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4F860EE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F4CD9F0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F14B1C4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46AE6CC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A8EAD52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31CF0FE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B6C2856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0866D6"/>
    <w:multiLevelType w:val="hybridMultilevel"/>
    <w:tmpl w:val="CE7E4C34"/>
    <w:lvl w:ilvl="0" w:tplc="04090001">
      <w:start w:val="1"/>
      <w:numFmt w:val="bullet"/>
      <w:lvlText w:val=""/>
      <w:lvlJc w:val="left"/>
      <w:pPr>
        <w:ind w:left="1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66" w:hanging="360"/>
      </w:pPr>
      <w:rPr>
        <w:rFonts w:ascii="Wingdings" w:hAnsi="Wingdings" w:hint="default"/>
      </w:rPr>
    </w:lvl>
  </w:abstractNum>
  <w:abstractNum w:abstractNumId="2" w15:restartNumberingAfterBreak="0">
    <w:nsid w:val="5CBE1FC6"/>
    <w:multiLevelType w:val="hybridMultilevel"/>
    <w:tmpl w:val="6298E554"/>
    <w:lvl w:ilvl="0" w:tplc="6E02E3F0">
      <w:start w:val="1"/>
      <w:numFmt w:val="bullet"/>
      <w:lvlText w:val="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A0CA008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F1A36AE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55458B8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E7EB438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A3C7B12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11617FE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A3C12FA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E742F88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930293"/>
    <w:multiLevelType w:val="hybridMultilevel"/>
    <w:tmpl w:val="FB86E846"/>
    <w:lvl w:ilvl="0" w:tplc="43A8F9AE">
      <w:start w:val="50"/>
      <w:numFmt w:val="upperRoman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2DB58">
      <w:start w:val="1"/>
      <w:numFmt w:val="lowerLetter"/>
      <w:lvlText w:val="%2"/>
      <w:lvlJc w:val="left"/>
      <w:pPr>
        <w:ind w:left="5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29CC2">
      <w:start w:val="1"/>
      <w:numFmt w:val="lowerRoman"/>
      <w:lvlText w:val="%3"/>
      <w:lvlJc w:val="left"/>
      <w:pPr>
        <w:ind w:left="6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E83BE">
      <w:start w:val="1"/>
      <w:numFmt w:val="decimal"/>
      <w:lvlText w:val="%4"/>
      <w:lvlJc w:val="left"/>
      <w:pPr>
        <w:ind w:left="7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EC42C">
      <w:start w:val="1"/>
      <w:numFmt w:val="lowerLetter"/>
      <w:lvlText w:val="%5"/>
      <w:lvlJc w:val="left"/>
      <w:pPr>
        <w:ind w:left="7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41C0E">
      <w:start w:val="1"/>
      <w:numFmt w:val="lowerRoman"/>
      <w:lvlText w:val="%6"/>
      <w:lvlJc w:val="left"/>
      <w:pPr>
        <w:ind w:left="8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D4830A">
      <w:start w:val="1"/>
      <w:numFmt w:val="decimal"/>
      <w:lvlText w:val="%7"/>
      <w:lvlJc w:val="left"/>
      <w:pPr>
        <w:ind w:left="9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5C58AE">
      <w:start w:val="1"/>
      <w:numFmt w:val="lowerLetter"/>
      <w:lvlText w:val="%8"/>
      <w:lvlJc w:val="left"/>
      <w:pPr>
        <w:ind w:left="10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8DC6A">
      <w:start w:val="1"/>
      <w:numFmt w:val="lowerRoman"/>
      <w:lvlText w:val="%9"/>
      <w:lvlJc w:val="left"/>
      <w:pPr>
        <w:ind w:left="10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493CF1"/>
    <w:multiLevelType w:val="hybridMultilevel"/>
    <w:tmpl w:val="66309AD6"/>
    <w:lvl w:ilvl="0" w:tplc="AB30E938">
      <w:start w:val="1"/>
      <w:numFmt w:val="bullet"/>
      <w:lvlText w:val="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16CAB1A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5786B7A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4001076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F72D9A8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1682748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1365CF0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5EE347C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A36C82C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501BCA"/>
    <w:multiLevelType w:val="hybridMultilevel"/>
    <w:tmpl w:val="A8E044B8"/>
    <w:lvl w:ilvl="0" w:tplc="9BF2F8EC">
      <w:start w:val="1"/>
      <w:numFmt w:val="bullet"/>
      <w:lvlText w:val="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6C2117E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182D124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AB04F74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168BCF0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5EC267E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B863D60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71CB35C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D164F26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D5450A"/>
    <w:multiLevelType w:val="hybridMultilevel"/>
    <w:tmpl w:val="CBD663D2"/>
    <w:lvl w:ilvl="0" w:tplc="0F7EC6C4">
      <w:start w:val="1"/>
      <w:numFmt w:val="bullet"/>
      <w:lvlText w:val="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E4F898BE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1EA3B48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1406E8C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2A0F8E6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97CA936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F3EEFBA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454BE8E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DF25306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46"/>
    <w:rsid w:val="00001E9B"/>
    <w:rsid w:val="000260C8"/>
    <w:rsid w:val="00083ABB"/>
    <w:rsid w:val="00184BD4"/>
    <w:rsid w:val="001954D7"/>
    <w:rsid w:val="001C6416"/>
    <w:rsid w:val="0024617C"/>
    <w:rsid w:val="00250596"/>
    <w:rsid w:val="00360214"/>
    <w:rsid w:val="0037366B"/>
    <w:rsid w:val="00375859"/>
    <w:rsid w:val="003E1C6E"/>
    <w:rsid w:val="00494698"/>
    <w:rsid w:val="00507C7C"/>
    <w:rsid w:val="005D2A77"/>
    <w:rsid w:val="005F76CD"/>
    <w:rsid w:val="00654157"/>
    <w:rsid w:val="006A4A55"/>
    <w:rsid w:val="006B210A"/>
    <w:rsid w:val="006C6E1F"/>
    <w:rsid w:val="006E1F81"/>
    <w:rsid w:val="006F4B2A"/>
    <w:rsid w:val="006F6623"/>
    <w:rsid w:val="00701128"/>
    <w:rsid w:val="00757EC0"/>
    <w:rsid w:val="00785A71"/>
    <w:rsid w:val="00837F0E"/>
    <w:rsid w:val="008442B1"/>
    <w:rsid w:val="008735C1"/>
    <w:rsid w:val="00874D46"/>
    <w:rsid w:val="00881978"/>
    <w:rsid w:val="00884C34"/>
    <w:rsid w:val="008C02D4"/>
    <w:rsid w:val="008D271C"/>
    <w:rsid w:val="00905278"/>
    <w:rsid w:val="009D5D1D"/>
    <w:rsid w:val="00A02699"/>
    <w:rsid w:val="00A47267"/>
    <w:rsid w:val="00AE20E1"/>
    <w:rsid w:val="00AF2E80"/>
    <w:rsid w:val="00B1617A"/>
    <w:rsid w:val="00B41A34"/>
    <w:rsid w:val="00B61959"/>
    <w:rsid w:val="00B76A0B"/>
    <w:rsid w:val="00B84914"/>
    <w:rsid w:val="00BC0A5B"/>
    <w:rsid w:val="00C53A93"/>
    <w:rsid w:val="00C75462"/>
    <w:rsid w:val="00C83BE7"/>
    <w:rsid w:val="00CE7B86"/>
    <w:rsid w:val="00D25FC0"/>
    <w:rsid w:val="00D64096"/>
    <w:rsid w:val="00D83E7A"/>
    <w:rsid w:val="00D86E9F"/>
    <w:rsid w:val="00D96D1D"/>
    <w:rsid w:val="00DA0C84"/>
    <w:rsid w:val="00DA7824"/>
    <w:rsid w:val="00DE728A"/>
    <w:rsid w:val="00DF62F6"/>
    <w:rsid w:val="00E012DE"/>
    <w:rsid w:val="00E34D2A"/>
    <w:rsid w:val="00E47B4D"/>
    <w:rsid w:val="00E81E7B"/>
    <w:rsid w:val="00E9758E"/>
    <w:rsid w:val="00EA3BED"/>
    <w:rsid w:val="00EE47F8"/>
    <w:rsid w:val="00F03F22"/>
    <w:rsid w:val="00F8569B"/>
    <w:rsid w:val="00FB4B55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65C426C"/>
  <w15:docId w15:val="{4290D079-6B63-4AF1-92D8-42E6A351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6"/>
      </w:numPr>
      <w:spacing w:after="0"/>
      <w:ind w:left="10" w:right="94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B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7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78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EA3B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B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A0C84"/>
    <w:pPr>
      <w:ind w:left="720"/>
      <w:contextualSpacing/>
    </w:pPr>
  </w:style>
  <w:style w:type="paragraph" w:styleId="NoSpacing">
    <w:name w:val="No Spacing"/>
    <w:uiPriority w:val="1"/>
    <w:qFormat/>
    <w:rsid w:val="00FB4B55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C401-ED95-4818-9A9E-02E8E611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 Bracy DeMaio</dc:creator>
  <cp:keywords/>
  <cp:lastModifiedBy>Brent</cp:lastModifiedBy>
  <cp:revision>2</cp:revision>
  <cp:lastPrinted>2019-08-07T12:24:00Z</cp:lastPrinted>
  <dcterms:created xsi:type="dcterms:W3CDTF">2020-08-21T18:17:00Z</dcterms:created>
  <dcterms:modified xsi:type="dcterms:W3CDTF">2020-08-21T18:17:00Z</dcterms:modified>
</cp:coreProperties>
</file>