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6A9B2" w14:textId="7D37CA02" w:rsidR="00A51174" w:rsidRDefault="001943FF">
      <w:r>
        <w:rPr>
          <w:noProof/>
        </w:rPr>
        <w:drawing>
          <wp:inline distT="0" distB="0" distL="0" distR="0" wp14:anchorId="604D9766" wp14:editId="1EB47617">
            <wp:extent cx="5943600" cy="29718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LIANCE-2020-July-ICPA-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8DBD7" w14:textId="77777777" w:rsidR="00F352D4" w:rsidRDefault="00F352D4" w:rsidP="003A5DDC">
      <w:pPr>
        <w:jc w:val="center"/>
      </w:pPr>
    </w:p>
    <w:p w14:paraId="4986C090" w14:textId="6ECC76EE" w:rsidR="00945EAB" w:rsidRDefault="00F352D4" w:rsidP="00945EAB">
      <w:r>
        <w:t xml:space="preserve">Title for List in ICPA Email: </w:t>
      </w:r>
      <w:r w:rsidR="00A51174" w:rsidRPr="003A5DDC">
        <w:t>C</w:t>
      </w:r>
      <w:r>
        <w:t xml:space="preserve">ONTENT ENABLERS PRESENTS: 2-Day Virtual Conference on “TRADE COMPLIANCE </w:t>
      </w:r>
      <w:r w:rsidR="00E05E96">
        <w:t>AND</w:t>
      </w:r>
      <w:r>
        <w:t xml:space="preserve"> EMERGING POLICY</w:t>
      </w:r>
      <w:r w:rsidR="009B0611">
        <w:t xml:space="preserve">” - </w:t>
      </w:r>
      <w:r>
        <w:t>21 world</w:t>
      </w:r>
      <w:r w:rsidR="00E679DE">
        <w:t>-</w:t>
      </w:r>
      <w:r>
        <w:t>recognized</w:t>
      </w:r>
      <w:r w:rsidR="009B0611">
        <w:t xml:space="preserve"> speakers/6 virtual workshops</w:t>
      </w:r>
    </w:p>
    <w:p w14:paraId="51963F02" w14:textId="5E9A656F" w:rsidR="00E70027" w:rsidRPr="003A5DDC" w:rsidRDefault="003A5DDC" w:rsidP="00DD3BE3">
      <w:pPr>
        <w:jc w:val="center"/>
        <w:rPr>
          <w:b/>
          <w:sz w:val="28"/>
        </w:rPr>
      </w:pPr>
      <w:r>
        <w:br/>
      </w:r>
      <w:r w:rsidR="00581D7D" w:rsidRPr="003A5DDC">
        <w:rPr>
          <w:b/>
        </w:rPr>
        <w:t xml:space="preserve"> </w:t>
      </w:r>
      <w:r w:rsidR="00581D7D" w:rsidRPr="003A5DDC">
        <w:rPr>
          <w:b/>
          <w:sz w:val="28"/>
        </w:rPr>
        <w:t>TRADE COMPLIANCE AND EMERGING POLICY</w:t>
      </w:r>
      <w:r>
        <w:rPr>
          <w:b/>
          <w:sz w:val="28"/>
        </w:rPr>
        <w:br/>
      </w:r>
      <w:r w:rsidR="00E70027" w:rsidRPr="003A5DDC">
        <w:rPr>
          <w:b/>
          <w:sz w:val="28"/>
        </w:rPr>
        <w:t xml:space="preserve"> </w:t>
      </w:r>
      <w:r w:rsidR="00581D7D" w:rsidRPr="003A5DDC">
        <w:rPr>
          <w:b/>
          <w:sz w:val="28"/>
        </w:rPr>
        <w:t>2-</w:t>
      </w:r>
      <w:r w:rsidR="00DD3BE3">
        <w:rPr>
          <w:b/>
          <w:sz w:val="28"/>
        </w:rPr>
        <w:t>D</w:t>
      </w:r>
      <w:r w:rsidR="00581D7D" w:rsidRPr="003A5DDC">
        <w:rPr>
          <w:b/>
          <w:sz w:val="28"/>
        </w:rPr>
        <w:t>ay V</w:t>
      </w:r>
      <w:r w:rsidR="00E70027" w:rsidRPr="003A5DDC">
        <w:rPr>
          <w:b/>
          <w:sz w:val="28"/>
        </w:rPr>
        <w:t>irtual Conferenc</w:t>
      </w:r>
      <w:r w:rsidR="00DD3BE3">
        <w:rPr>
          <w:b/>
          <w:sz w:val="28"/>
        </w:rPr>
        <w:t>e – T</w:t>
      </w:r>
      <w:r w:rsidR="00E70027" w:rsidRPr="003A5DDC">
        <w:rPr>
          <w:b/>
          <w:sz w:val="28"/>
        </w:rPr>
        <w:t>he Trade Compliance Event of the Year!</w:t>
      </w:r>
      <w:r w:rsidR="00607C06">
        <w:rPr>
          <w:b/>
          <w:sz w:val="28"/>
        </w:rPr>
        <w:br/>
      </w:r>
      <w:r w:rsidR="00607C06" w:rsidRPr="00607C06">
        <w:rPr>
          <w:i/>
          <w:sz w:val="28"/>
        </w:rPr>
        <w:t>No event this year gives you more focused insight on the evolving issues facing</w:t>
      </w:r>
      <w:r w:rsidR="00607C06">
        <w:rPr>
          <w:i/>
          <w:sz w:val="28"/>
        </w:rPr>
        <w:t xml:space="preserve"> trade compliance practitioners.</w:t>
      </w:r>
    </w:p>
    <w:p w14:paraId="0BFC22BF" w14:textId="77777777" w:rsidR="00E70027" w:rsidRDefault="001943FF">
      <w:hyperlink r:id="rId6" w:history="1">
        <w:r w:rsidR="00E70027" w:rsidRPr="00E70027">
          <w:rPr>
            <w:rStyle w:val="Hyperlink"/>
          </w:rPr>
          <w:t>Learn More Now!</w:t>
        </w:r>
      </w:hyperlink>
    </w:p>
    <w:p w14:paraId="62CDA5E4" w14:textId="77777777" w:rsidR="00581D7D" w:rsidRDefault="00581D7D">
      <w:r>
        <w:t>July 23-24, 2020</w:t>
      </w:r>
    </w:p>
    <w:p w14:paraId="066217FD" w14:textId="6881FAAF" w:rsidR="00581D7D" w:rsidRPr="002678CA" w:rsidRDefault="00E679DE">
      <w:r>
        <w:t>Join a v</w:t>
      </w:r>
      <w:r w:rsidR="00581D7D">
        <w:t xml:space="preserve">irtual </w:t>
      </w:r>
      <w:r>
        <w:t>o</w:t>
      </w:r>
      <w:r w:rsidR="00581D7D">
        <w:t xml:space="preserve">nline </w:t>
      </w:r>
      <w:r>
        <w:t>c</w:t>
      </w:r>
      <w:r w:rsidR="00581D7D">
        <w:t xml:space="preserve">onference consisting of </w:t>
      </w:r>
      <w:r w:rsidR="00DD3BE3">
        <w:t>six</w:t>
      </w:r>
      <w:r w:rsidR="00581D7D">
        <w:t xml:space="preserve"> </w:t>
      </w:r>
      <w:r>
        <w:t>c</w:t>
      </w:r>
      <w:r w:rsidR="00581D7D">
        <w:t xml:space="preserve">ompliance </w:t>
      </w:r>
      <w:r>
        <w:t>w</w:t>
      </w:r>
      <w:r w:rsidR="00581D7D">
        <w:t>orkshops</w:t>
      </w:r>
      <w:r w:rsidR="00E70027">
        <w:t xml:space="preserve"> led by 21 world</w:t>
      </w:r>
      <w:r>
        <w:t>-</w:t>
      </w:r>
      <w:r w:rsidR="00E70027">
        <w:t xml:space="preserve">recognized compliance leaders! </w:t>
      </w:r>
      <w:r>
        <w:t xml:space="preserve">Topics to be covered include: </w:t>
      </w:r>
    </w:p>
    <w:p w14:paraId="7C3EF78F" w14:textId="77777777" w:rsidR="0084530A" w:rsidRPr="001943FF" w:rsidRDefault="00581D7D" w:rsidP="00E70027">
      <w:pPr>
        <w:pStyle w:val="ListParagraph"/>
        <w:numPr>
          <w:ilvl w:val="0"/>
          <w:numId w:val="2"/>
        </w:numPr>
        <w:rPr>
          <w:bCs/>
        </w:rPr>
      </w:pPr>
      <w:r w:rsidRPr="001943FF">
        <w:rPr>
          <w:bCs/>
          <w:sz w:val="24"/>
        </w:rPr>
        <w:t>Evolving Regulations and Policies</w:t>
      </w:r>
    </w:p>
    <w:p w14:paraId="16AC2110" w14:textId="2F2165D1" w:rsidR="002678CA" w:rsidRPr="001943FF" w:rsidRDefault="0084530A" w:rsidP="00D17DAE">
      <w:pPr>
        <w:pStyle w:val="ListParagraph"/>
        <w:numPr>
          <w:ilvl w:val="0"/>
          <w:numId w:val="2"/>
        </w:numPr>
        <w:rPr>
          <w:bCs/>
        </w:rPr>
      </w:pPr>
      <w:r w:rsidRPr="001943FF">
        <w:rPr>
          <w:bCs/>
          <w:sz w:val="24"/>
        </w:rPr>
        <w:t>Developments in Defense Trade</w:t>
      </w:r>
      <w:r w:rsidR="00511A4D" w:rsidRPr="001943FF">
        <w:rPr>
          <w:bCs/>
          <w:sz w:val="24"/>
        </w:rPr>
        <w:t xml:space="preserve"> </w:t>
      </w:r>
      <w:r w:rsidR="00DD3BE3" w:rsidRPr="001943FF">
        <w:rPr>
          <w:bCs/>
          <w:sz w:val="24"/>
        </w:rPr>
        <w:t>(</w:t>
      </w:r>
      <w:r w:rsidR="00511A4D" w:rsidRPr="001943FF">
        <w:rPr>
          <w:bCs/>
          <w:sz w:val="24"/>
        </w:rPr>
        <w:t xml:space="preserve">to </w:t>
      </w:r>
      <w:r w:rsidR="00E05E96" w:rsidRPr="001943FF">
        <w:rPr>
          <w:bCs/>
          <w:sz w:val="24"/>
        </w:rPr>
        <w:t>i</w:t>
      </w:r>
      <w:r w:rsidR="00511A4D" w:rsidRPr="001943FF">
        <w:rPr>
          <w:bCs/>
          <w:sz w:val="24"/>
        </w:rPr>
        <w:t xml:space="preserve">nclude </w:t>
      </w:r>
      <w:r w:rsidRPr="001943FF">
        <w:rPr>
          <w:bCs/>
          <w:sz w:val="24"/>
        </w:rPr>
        <w:t>UK Panel Discussion</w:t>
      </w:r>
      <w:r w:rsidR="00DD3BE3" w:rsidRPr="001943FF">
        <w:rPr>
          <w:bCs/>
          <w:sz w:val="24"/>
        </w:rPr>
        <w:t>)</w:t>
      </w:r>
      <w:r w:rsidR="00D17DAE" w:rsidRPr="001943FF">
        <w:rPr>
          <w:bCs/>
        </w:rPr>
        <w:t xml:space="preserve"> </w:t>
      </w:r>
    </w:p>
    <w:p w14:paraId="647D1CE1" w14:textId="77777777" w:rsidR="00F117B7" w:rsidRPr="001943FF" w:rsidRDefault="002678CA" w:rsidP="00E70027">
      <w:pPr>
        <w:pStyle w:val="ListParagraph"/>
        <w:numPr>
          <w:ilvl w:val="0"/>
          <w:numId w:val="2"/>
        </w:numPr>
        <w:rPr>
          <w:bCs/>
          <w:sz w:val="24"/>
        </w:rPr>
      </w:pPr>
      <w:r w:rsidRPr="001943FF">
        <w:rPr>
          <w:bCs/>
          <w:sz w:val="24"/>
        </w:rPr>
        <w:t xml:space="preserve">Auditable Export Controls and Sanctions Compliance </w:t>
      </w:r>
      <w:r w:rsidR="00F117B7" w:rsidRPr="001943FF">
        <w:rPr>
          <w:bCs/>
          <w:sz w:val="24"/>
        </w:rPr>
        <w:t>Panel Discussion</w:t>
      </w:r>
    </w:p>
    <w:p w14:paraId="2EC9DB2D" w14:textId="77777777" w:rsidR="00F117B7" w:rsidRPr="001943FF" w:rsidRDefault="00F117B7" w:rsidP="00E70027">
      <w:pPr>
        <w:pStyle w:val="ListParagraph"/>
        <w:numPr>
          <w:ilvl w:val="0"/>
          <w:numId w:val="2"/>
        </w:numPr>
        <w:rPr>
          <w:bCs/>
          <w:sz w:val="24"/>
        </w:rPr>
      </w:pPr>
      <w:r w:rsidRPr="001943FF">
        <w:rPr>
          <w:bCs/>
          <w:sz w:val="24"/>
        </w:rPr>
        <w:t>Adapting Training to Reflect Post-COVID-19 Requirements Panel Discussion</w:t>
      </w:r>
    </w:p>
    <w:p w14:paraId="10EA155B" w14:textId="77777777" w:rsidR="002678CA" w:rsidRPr="001943FF" w:rsidRDefault="002678CA" w:rsidP="00E70027">
      <w:pPr>
        <w:pStyle w:val="ListParagraph"/>
        <w:numPr>
          <w:ilvl w:val="0"/>
          <w:numId w:val="2"/>
        </w:numPr>
        <w:rPr>
          <w:bCs/>
          <w:sz w:val="24"/>
        </w:rPr>
      </w:pPr>
      <w:r w:rsidRPr="001943FF">
        <w:rPr>
          <w:bCs/>
          <w:sz w:val="24"/>
        </w:rPr>
        <w:t>USMCA: Understanding the Changes in North American Trade</w:t>
      </w:r>
    </w:p>
    <w:p w14:paraId="7F420CE3" w14:textId="77777777" w:rsidR="002678CA" w:rsidRPr="001943FF" w:rsidRDefault="002678CA" w:rsidP="00E70027">
      <w:pPr>
        <w:pStyle w:val="ListParagraph"/>
        <w:numPr>
          <w:ilvl w:val="0"/>
          <w:numId w:val="2"/>
        </w:numPr>
        <w:rPr>
          <w:bCs/>
          <w:sz w:val="24"/>
        </w:rPr>
      </w:pPr>
      <w:r w:rsidRPr="001943FF">
        <w:rPr>
          <w:bCs/>
          <w:sz w:val="24"/>
        </w:rPr>
        <w:t>Developments in Nuclear Exports</w:t>
      </w:r>
    </w:p>
    <w:p w14:paraId="23F54F96" w14:textId="77777777" w:rsidR="002678CA" w:rsidRPr="001943FF" w:rsidRDefault="002678CA" w:rsidP="00E70027">
      <w:pPr>
        <w:pStyle w:val="ListParagraph"/>
        <w:numPr>
          <w:ilvl w:val="0"/>
          <w:numId w:val="2"/>
        </w:numPr>
        <w:rPr>
          <w:bCs/>
          <w:sz w:val="24"/>
        </w:rPr>
      </w:pPr>
      <w:r w:rsidRPr="001943FF">
        <w:rPr>
          <w:bCs/>
          <w:sz w:val="24"/>
        </w:rPr>
        <w:t>USML Categories I-III: Firearms and Related Items – Transitioned to the EAR</w:t>
      </w:r>
    </w:p>
    <w:p w14:paraId="78A10ED4" w14:textId="4E90C867" w:rsidR="00E679DE" w:rsidRDefault="00E679DE" w:rsidP="00E70027">
      <w:pPr>
        <w:rPr>
          <w:b/>
          <w:sz w:val="24"/>
        </w:rPr>
      </w:pPr>
      <w:r w:rsidRPr="00E679DE">
        <w:rPr>
          <w:bCs/>
          <w:sz w:val="24"/>
        </w:rPr>
        <w:lastRenderedPageBreak/>
        <w:t>View the detailed agenda here:</w:t>
      </w:r>
      <w:r>
        <w:rPr>
          <w:b/>
          <w:sz w:val="24"/>
        </w:rPr>
        <w:t xml:space="preserve"> </w:t>
      </w:r>
      <w:hyperlink r:id="rId7" w:anchor="register-today-section" w:history="1">
        <w:r>
          <w:rPr>
            <w:rStyle w:val="Hyperlink"/>
          </w:rPr>
          <w:t xml:space="preserve">DETAILED </w:t>
        </w:r>
        <w:r w:rsidRPr="00E70027">
          <w:rPr>
            <w:rStyle w:val="Hyperlink"/>
          </w:rPr>
          <w:t>AGENDA &amp; SPEAKERS</w:t>
        </w:r>
      </w:hyperlink>
    </w:p>
    <w:p w14:paraId="79BD42EF" w14:textId="31B160CA" w:rsidR="00E70027" w:rsidRDefault="00E70027" w:rsidP="00E70027">
      <w:pPr>
        <w:rPr>
          <w:b/>
          <w:sz w:val="24"/>
        </w:rPr>
      </w:pPr>
      <w:r>
        <w:rPr>
          <w:b/>
          <w:sz w:val="24"/>
        </w:rPr>
        <w:t>To Attend</w:t>
      </w:r>
      <w:r w:rsidR="00DD3BE3">
        <w:rPr>
          <w:b/>
          <w:sz w:val="24"/>
        </w:rPr>
        <w:t>,</w:t>
      </w:r>
      <w:r>
        <w:rPr>
          <w:b/>
          <w:sz w:val="24"/>
        </w:rPr>
        <w:t xml:space="preserve"> </w:t>
      </w:r>
      <w:hyperlink r:id="rId8" w:anchor="ways-to-subscribe" w:history="1">
        <w:r w:rsidRPr="00E70027">
          <w:rPr>
            <w:rStyle w:val="Hyperlink"/>
            <w:b/>
            <w:sz w:val="24"/>
          </w:rPr>
          <w:t>Subscribe Now</w:t>
        </w:r>
      </w:hyperlink>
      <w:r>
        <w:rPr>
          <w:b/>
          <w:sz w:val="24"/>
        </w:rPr>
        <w:t xml:space="preserve">! </w:t>
      </w:r>
      <w:r w:rsidR="00E679DE">
        <w:rPr>
          <w:b/>
          <w:sz w:val="24"/>
        </w:rPr>
        <w:t xml:space="preserve">Benefits of subscribing include: </w:t>
      </w:r>
    </w:p>
    <w:p w14:paraId="6CBDB299" w14:textId="22B4F83B" w:rsidR="00511A4D" w:rsidRPr="00511A4D" w:rsidRDefault="00DD3BE3" w:rsidP="00511A4D">
      <w:pPr>
        <w:pStyle w:val="ListParagraph"/>
        <w:numPr>
          <w:ilvl w:val="0"/>
          <w:numId w:val="3"/>
        </w:numPr>
        <w:rPr>
          <w:b/>
        </w:rPr>
      </w:pPr>
      <w:r>
        <w:rPr>
          <w:b/>
          <w:bCs/>
        </w:rPr>
        <w:t>The o</w:t>
      </w:r>
      <w:r w:rsidR="00E679DE">
        <w:rPr>
          <w:b/>
          <w:bCs/>
        </w:rPr>
        <w:t xml:space="preserve">pportunity to attend </w:t>
      </w:r>
      <w:r w:rsidR="00511A4D" w:rsidRPr="00DD3BE3">
        <w:rPr>
          <w:b/>
          <w:bCs/>
        </w:rPr>
        <w:t xml:space="preserve">the </w:t>
      </w:r>
      <w:r w:rsidR="00607C06" w:rsidRPr="00DD3BE3">
        <w:rPr>
          <w:b/>
          <w:bCs/>
        </w:rPr>
        <w:t>July 23-24</w:t>
      </w:r>
      <w:r w:rsidR="00511A4D" w:rsidRPr="00E679DE">
        <w:rPr>
          <w:b/>
          <w:bCs/>
        </w:rPr>
        <w:t xml:space="preserve"> </w:t>
      </w:r>
      <w:r w:rsidR="00E679DE" w:rsidRPr="00E679DE">
        <w:rPr>
          <w:b/>
          <w:bCs/>
        </w:rPr>
        <w:t>COMPLIANCE</w:t>
      </w:r>
      <w:r w:rsidR="00E679DE">
        <w:rPr>
          <w:b/>
        </w:rPr>
        <w:t xml:space="preserve"> 2020 Event</w:t>
      </w:r>
      <w:r w:rsidR="00E679DE">
        <w:t>, “</w:t>
      </w:r>
      <w:r w:rsidR="00E679DE" w:rsidRPr="00607C06">
        <w:rPr>
          <w:b/>
        </w:rPr>
        <w:t>TRADE COMPLIANCE AND EMERGING POLICY</w:t>
      </w:r>
      <w:r w:rsidR="00E679DE" w:rsidRPr="00E679DE">
        <w:rPr>
          <w:bCs/>
        </w:rPr>
        <w:t>,</w:t>
      </w:r>
      <w:r w:rsidR="00E679DE">
        <w:rPr>
          <w:bCs/>
        </w:rPr>
        <w:t>”</w:t>
      </w:r>
      <w:r w:rsidR="00E679DE">
        <w:rPr>
          <w:b/>
        </w:rPr>
        <w:t xml:space="preserve"> </w:t>
      </w:r>
      <w:r w:rsidR="00E679DE">
        <w:t>a v</w:t>
      </w:r>
      <w:r w:rsidR="00511A4D" w:rsidRPr="00511A4D">
        <w:t xml:space="preserve">irtual </w:t>
      </w:r>
      <w:r>
        <w:t>two</w:t>
      </w:r>
      <w:r w:rsidR="00607C06">
        <w:t>-day</w:t>
      </w:r>
      <w:r w:rsidR="00E679DE">
        <w:t xml:space="preserve"> e</w:t>
      </w:r>
      <w:r w:rsidR="00511A4D" w:rsidRPr="00511A4D">
        <w:t>vent</w:t>
      </w:r>
      <w:r w:rsidR="00A51174">
        <w:t xml:space="preserve"> </w:t>
      </w:r>
      <w:r w:rsidR="00E679DE">
        <w:t xml:space="preserve">featuring Matt Borman and an array of world-recognized compliance experts. </w:t>
      </w:r>
    </w:p>
    <w:p w14:paraId="44798773" w14:textId="47DC6724" w:rsidR="00511A4D" w:rsidRPr="00DD3BE3" w:rsidRDefault="00E679DE" w:rsidP="00DD3BE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Access to 12 months of c</w:t>
      </w:r>
      <w:r w:rsidR="003A5DDC" w:rsidRPr="00607C06">
        <w:rPr>
          <w:b/>
        </w:rPr>
        <w:t xml:space="preserve">ontinuous </w:t>
      </w:r>
      <w:r>
        <w:rPr>
          <w:b/>
        </w:rPr>
        <w:t>l</w:t>
      </w:r>
      <w:r w:rsidR="003A5DDC" w:rsidRPr="00607C06">
        <w:rPr>
          <w:b/>
        </w:rPr>
        <w:t>earning</w:t>
      </w:r>
      <w:r w:rsidR="003A5DDC">
        <w:t xml:space="preserve"> </w:t>
      </w:r>
      <w:r w:rsidR="00DD3BE3">
        <w:t>–</w:t>
      </w:r>
      <w:r w:rsidR="003A5DDC">
        <w:t xml:space="preserve"> </w:t>
      </w:r>
      <w:r>
        <w:t>As a subscriber, you</w:t>
      </w:r>
      <w:r w:rsidR="00DD3BE3">
        <w:t>’</w:t>
      </w:r>
      <w:r>
        <w:t>ll have access</w:t>
      </w:r>
      <w:r w:rsidR="00511A4D" w:rsidRPr="00511A4D">
        <w:t xml:space="preserve"> to a full year of online and in-person </w:t>
      </w:r>
      <w:r>
        <w:t xml:space="preserve">COMPLIANCE 2020 </w:t>
      </w:r>
      <w:r w:rsidR="00511A4D" w:rsidRPr="00511A4D">
        <w:t>events featuring analysis and insider perspectives from top government and industry experts on important and developing compliance issues.</w:t>
      </w:r>
      <w:r>
        <w:t xml:space="preserve"> You</w:t>
      </w:r>
      <w:r w:rsidR="00DD3BE3">
        <w:t>’</w:t>
      </w:r>
      <w:r>
        <w:t xml:space="preserve">ll also have access to all of the recordings of previous COMPLIANCE 2020 events. </w:t>
      </w:r>
    </w:p>
    <w:p w14:paraId="225FD266" w14:textId="6D6DB5D4" w:rsidR="00511A4D" w:rsidRPr="00E679DE" w:rsidRDefault="00511A4D" w:rsidP="003F7E3C">
      <w:pPr>
        <w:pStyle w:val="ListParagraph"/>
        <w:numPr>
          <w:ilvl w:val="0"/>
          <w:numId w:val="3"/>
        </w:numPr>
        <w:rPr>
          <w:b/>
        </w:rPr>
      </w:pPr>
      <w:r w:rsidRPr="00E679DE">
        <w:rPr>
          <w:b/>
        </w:rPr>
        <w:t>Comprehensive</w:t>
      </w:r>
      <w:r w:rsidR="003A5DDC" w:rsidRPr="00E679DE">
        <w:rPr>
          <w:b/>
        </w:rPr>
        <w:t>, Practical</w:t>
      </w:r>
      <w:r w:rsidR="00E679DE" w:rsidRPr="00E679DE">
        <w:rPr>
          <w:b/>
        </w:rPr>
        <w:t>,</w:t>
      </w:r>
      <w:r w:rsidRPr="00E679DE">
        <w:rPr>
          <w:b/>
        </w:rPr>
        <w:t xml:space="preserve"> and Engaging Training</w:t>
      </w:r>
      <w:r w:rsidR="00A51174" w:rsidRPr="00E679DE">
        <w:rPr>
          <w:b/>
        </w:rPr>
        <w:t xml:space="preserve"> </w:t>
      </w:r>
      <w:r w:rsidR="00A51174">
        <w:t xml:space="preserve">from the </w:t>
      </w:r>
      <w:r w:rsidR="00A51174" w:rsidRPr="00E679DE">
        <w:rPr>
          <w:b/>
          <w:i/>
        </w:rPr>
        <w:t>Trade Compliance Practitioner Training Series</w:t>
      </w:r>
      <w:r>
        <w:t xml:space="preserve"> </w:t>
      </w:r>
      <w:r w:rsidR="00D17DAE">
        <w:t>that you can view and review for 12 months</w:t>
      </w:r>
      <w:r w:rsidR="00A51174">
        <w:t>.</w:t>
      </w:r>
      <w:r w:rsidR="00E679DE">
        <w:t xml:space="preserve"> No more worrying that you will miss a vital regulation update! As a subscriber, you will receive </w:t>
      </w:r>
      <w:r w:rsidR="00D17DAE">
        <w:t>notifications by email when regu</w:t>
      </w:r>
      <w:r w:rsidR="00A51174">
        <w:t>lations change</w:t>
      </w:r>
      <w:r w:rsidR="00DD3BE3">
        <w:t>.</w:t>
      </w:r>
    </w:p>
    <w:p w14:paraId="51175836" w14:textId="68246C84" w:rsidR="00D17DAE" w:rsidRPr="00D17DAE" w:rsidRDefault="00D17DAE" w:rsidP="00511A4D">
      <w:pPr>
        <w:pStyle w:val="ListParagraph"/>
        <w:numPr>
          <w:ilvl w:val="0"/>
          <w:numId w:val="3"/>
        </w:numPr>
        <w:rPr>
          <w:b/>
        </w:rPr>
      </w:pPr>
      <w:r>
        <w:t>Choose from the following 12</w:t>
      </w:r>
      <w:r w:rsidR="00E679DE">
        <w:t>-</w:t>
      </w:r>
      <w:r>
        <w:t xml:space="preserve">month subscriptions to the </w:t>
      </w:r>
      <w:r w:rsidRPr="00D17DAE">
        <w:rPr>
          <w:b/>
          <w:i/>
        </w:rPr>
        <w:t>Trade Compliance Practitioner Training Series</w:t>
      </w:r>
      <w:r>
        <w:t>:</w:t>
      </w:r>
    </w:p>
    <w:p w14:paraId="07A00290" w14:textId="77777777" w:rsidR="00D17DAE" w:rsidRPr="00D17DAE" w:rsidRDefault="00D17DAE" w:rsidP="00D17DA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</w:rPr>
      </w:pPr>
      <w:r w:rsidRPr="003A5DDC">
        <w:rPr>
          <w:rFonts w:ascii="Roboto" w:hAnsi="Roboto"/>
          <w:b/>
        </w:rPr>
        <w:t>Foundations of U.S. Export Compliance</w:t>
      </w:r>
      <w:r>
        <w:rPr>
          <w:rFonts w:ascii="Roboto" w:hAnsi="Roboto"/>
        </w:rPr>
        <w:t xml:space="preserve">  </w:t>
      </w:r>
      <w:r w:rsidR="00784A79">
        <w:rPr>
          <w:rFonts w:ascii="Roboto" w:hAnsi="Roboto"/>
        </w:rPr>
        <w:t xml:space="preserve"> $29/month  </w:t>
      </w:r>
      <w:hyperlink r:id="rId9" w:history="1">
        <w:r w:rsidR="003A5DDC" w:rsidRPr="003A5DDC">
          <w:rPr>
            <w:rStyle w:val="Hyperlink"/>
            <w:rFonts w:ascii="Roboto" w:hAnsi="Roboto"/>
            <w:sz w:val="20"/>
          </w:rPr>
          <w:t>Course Details</w:t>
        </w:r>
      </w:hyperlink>
    </w:p>
    <w:p w14:paraId="208EF3DB" w14:textId="77777777" w:rsidR="00D17DAE" w:rsidRPr="00D17DAE" w:rsidRDefault="00D17DAE" w:rsidP="00D17DA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</w:rPr>
      </w:pPr>
      <w:r w:rsidRPr="003A5DDC">
        <w:rPr>
          <w:rFonts w:ascii="Roboto" w:hAnsi="Roboto"/>
          <w:b/>
        </w:rPr>
        <w:t>U.S. Export Classification</w:t>
      </w:r>
      <w:r>
        <w:rPr>
          <w:rFonts w:ascii="Roboto" w:hAnsi="Roboto"/>
        </w:rPr>
        <w:t xml:space="preserve">  </w:t>
      </w:r>
      <w:r w:rsidR="00A51174">
        <w:rPr>
          <w:rFonts w:ascii="Roboto" w:hAnsi="Roboto"/>
        </w:rPr>
        <w:t xml:space="preserve"> </w:t>
      </w:r>
      <w:r>
        <w:rPr>
          <w:rFonts w:ascii="Roboto" w:hAnsi="Roboto"/>
        </w:rPr>
        <w:t>$39/month</w:t>
      </w:r>
      <w:r w:rsidR="003A5DDC">
        <w:rPr>
          <w:rFonts w:ascii="Roboto" w:hAnsi="Roboto"/>
        </w:rPr>
        <w:t xml:space="preserve">  </w:t>
      </w:r>
      <w:hyperlink r:id="rId10" w:history="1">
        <w:r w:rsidR="003A5DDC" w:rsidRPr="003A5DDC">
          <w:rPr>
            <w:rStyle w:val="Hyperlink"/>
            <w:rFonts w:ascii="Roboto" w:hAnsi="Roboto"/>
            <w:sz w:val="20"/>
          </w:rPr>
          <w:t>Course Details</w:t>
        </w:r>
      </w:hyperlink>
    </w:p>
    <w:p w14:paraId="272DCC1C" w14:textId="77777777" w:rsidR="00D17DAE" w:rsidRPr="00D17DAE" w:rsidRDefault="00D17DAE" w:rsidP="00D17DA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</w:rPr>
      </w:pPr>
      <w:r w:rsidRPr="003A5DDC">
        <w:rPr>
          <w:rFonts w:ascii="Roboto" w:hAnsi="Roboto"/>
          <w:b/>
        </w:rPr>
        <w:t>U.S. Export Authorizations</w:t>
      </w:r>
      <w:r>
        <w:rPr>
          <w:rFonts w:ascii="Roboto" w:hAnsi="Roboto"/>
        </w:rPr>
        <w:t xml:space="preserve"> </w:t>
      </w:r>
      <w:r w:rsidR="00A51174">
        <w:rPr>
          <w:rFonts w:ascii="Roboto" w:hAnsi="Roboto"/>
        </w:rPr>
        <w:t xml:space="preserve"> </w:t>
      </w:r>
      <w:r>
        <w:rPr>
          <w:rFonts w:ascii="Roboto" w:hAnsi="Roboto"/>
        </w:rPr>
        <w:t>$39/month</w:t>
      </w:r>
      <w:r w:rsidR="003A5DDC">
        <w:rPr>
          <w:rFonts w:ascii="Roboto" w:hAnsi="Roboto"/>
        </w:rPr>
        <w:t xml:space="preserve">  </w:t>
      </w:r>
      <w:hyperlink r:id="rId11" w:history="1">
        <w:r w:rsidR="003A5DDC" w:rsidRPr="003A5DDC">
          <w:rPr>
            <w:rStyle w:val="Hyperlink"/>
            <w:rFonts w:ascii="Roboto" w:hAnsi="Roboto"/>
            <w:sz w:val="20"/>
          </w:rPr>
          <w:t>Course Details</w:t>
        </w:r>
      </w:hyperlink>
    </w:p>
    <w:p w14:paraId="22FC26D0" w14:textId="44908ADE" w:rsidR="00D17DAE" w:rsidRPr="00E679DE" w:rsidRDefault="00D17DAE" w:rsidP="00D17DA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30" w:lineRule="atLeast"/>
        <w:rPr>
          <w:rStyle w:val="Hyperlink"/>
          <w:rFonts w:ascii="Roboto" w:hAnsi="Roboto"/>
          <w:color w:val="auto"/>
          <w:u w:val="none"/>
        </w:rPr>
      </w:pPr>
      <w:r w:rsidRPr="003A5DDC">
        <w:rPr>
          <w:rFonts w:ascii="Roboto" w:hAnsi="Roboto"/>
          <w:b/>
        </w:rPr>
        <w:t>U.S. Export Clearance</w:t>
      </w:r>
      <w:r w:rsidR="00A51174">
        <w:rPr>
          <w:rFonts w:ascii="Roboto" w:hAnsi="Roboto"/>
          <w:b/>
        </w:rPr>
        <w:t xml:space="preserve"> </w:t>
      </w:r>
      <w:r>
        <w:rPr>
          <w:rFonts w:ascii="Roboto" w:hAnsi="Roboto"/>
        </w:rPr>
        <w:t xml:space="preserve"> $39/month</w:t>
      </w:r>
      <w:r w:rsidR="003A5DDC">
        <w:rPr>
          <w:rFonts w:ascii="Roboto" w:hAnsi="Roboto"/>
        </w:rPr>
        <w:t xml:space="preserve">  </w:t>
      </w:r>
      <w:hyperlink r:id="rId12" w:history="1">
        <w:r w:rsidR="003A5DDC" w:rsidRPr="003A5DDC">
          <w:rPr>
            <w:rStyle w:val="Hyperlink"/>
            <w:rFonts w:ascii="Roboto" w:hAnsi="Roboto"/>
            <w:sz w:val="20"/>
          </w:rPr>
          <w:t>Course Details</w:t>
        </w:r>
      </w:hyperlink>
      <w:r w:rsidR="00E679DE">
        <w:rPr>
          <w:rStyle w:val="Hyperlink"/>
          <w:rFonts w:ascii="Roboto" w:hAnsi="Roboto"/>
          <w:sz w:val="20"/>
        </w:rPr>
        <w:br/>
      </w:r>
    </w:p>
    <w:p w14:paraId="06A21816" w14:textId="61ACFDC6" w:rsidR="00E679DE" w:rsidRPr="00E679DE" w:rsidRDefault="00E679DE" w:rsidP="00E679D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A Certificate of </w:t>
      </w:r>
      <w:r w:rsidRPr="00E679DE">
        <w:rPr>
          <w:b/>
        </w:rPr>
        <w:t>Completion from the</w:t>
      </w:r>
      <w:r w:rsidRPr="00E679DE">
        <w:rPr>
          <w:b/>
          <w:i/>
        </w:rPr>
        <w:t xml:space="preserve"> Schar</w:t>
      </w:r>
      <w:r w:rsidRPr="00F352D4">
        <w:rPr>
          <w:b/>
          <w:i/>
        </w:rPr>
        <w:t xml:space="preserve"> School of Policy and Government</w:t>
      </w:r>
      <w:r>
        <w:t xml:space="preserve"> at George Mason University for each completed course</w:t>
      </w:r>
    </w:p>
    <w:p w14:paraId="3E69CED5" w14:textId="761E30E1" w:rsidR="00D17DAE" w:rsidRPr="006009EB" w:rsidRDefault="003A5DDC" w:rsidP="006009EB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Roboto" w:hAnsi="Roboto"/>
          <w:b/>
          <w:sz w:val="24"/>
        </w:rPr>
      </w:pPr>
      <w:r w:rsidRPr="006009EB">
        <w:rPr>
          <w:rFonts w:ascii="Roboto" w:hAnsi="Roboto"/>
          <w:b/>
          <w:sz w:val="28"/>
        </w:rPr>
        <w:t>BEST VALUE</w:t>
      </w:r>
      <w:r w:rsidR="00D17DAE" w:rsidRPr="006009EB">
        <w:rPr>
          <w:rFonts w:ascii="Roboto" w:hAnsi="Roboto"/>
          <w:b/>
          <w:sz w:val="28"/>
        </w:rPr>
        <w:t xml:space="preserve">! </w:t>
      </w:r>
      <w:r w:rsidR="00D17DAE" w:rsidRPr="006009EB">
        <w:rPr>
          <w:rFonts w:ascii="Roboto" w:hAnsi="Roboto"/>
          <w:sz w:val="28"/>
        </w:rPr>
        <w:t xml:space="preserve">Get all </w:t>
      </w:r>
      <w:r w:rsidR="00E05E96">
        <w:rPr>
          <w:rFonts w:ascii="Roboto" w:hAnsi="Roboto"/>
          <w:b/>
          <w:sz w:val="28"/>
        </w:rPr>
        <w:t>four</w:t>
      </w:r>
      <w:r w:rsidR="00D17DAE" w:rsidRPr="006009EB">
        <w:rPr>
          <w:rFonts w:ascii="Roboto" w:hAnsi="Roboto"/>
          <w:b/>
          <w:sz w:val="28"/>
        </w:rPr>
        <w:t xml:space="preserve"> </w:t>
      </w:r>
      <w:r w:rsidR="00DD3BE3">
        <w:rPr>
          <w:rFonts w:ascii="Roboto" w:hAnsi="Roboto"/>
          <w:b/>
          <w:sz w:val="28"/>
        </w:rPr>
        <w:t>c</w:t>
      </w:r>
      <w:r w:rsidR="00D17DAE" w:rsidRPr="006009EB">
        <w:rPr>
          <w:rFonts w:ascii="Roboto" w:hAnsi="Roboto"/>
          <w:b/>
          <w:sz w:val="28"/>
        </w:rPr>
        <w:t>ourses</w:t>
      </w:r>
      <w:r w:rsidR="00D17DAE" w:rsidRPr="006009EB">
        <w:rPr>
          <w:rFonts w:ascii="Roboto" w:hAnsi="Roboto"/>
          <w:sz w:val="28"/>
        </w:rPr>
        <w:t xml:space="preserve"> above </w:t>
      </w:r>
      <w:r w:rsidR="00D17DAE" w:rsidRPr="006009EB">
        <w:rPr>
          <w:rFonts w:ascii="Roboto" w:hAnsi="Roboto"/>
          <w:sz w:val="28"/>
          <w:u w:val="single"/>
        </w:rPr>
        <w:t>and</w:t>
      </w:r>
      <w:r w:rsidR="00D17DAE" w:rsidRPr="006009EB">
        <w:rPr>
          <w:rFonts w:ascii="Roboto" w:hAnsi="Roboto"/>
          <w:sz w:val="28"/>
        </w:rPr>
        <w:t xml:space="preserve"> </w:t>
      </w:r>
      <w:r w:rsidR="00DD3BE3">
        <w:rPr>
          <w:rFonts w:ascii="Roboto" w:hAnsi="Roboto"/>
          <w:sz w:val="28"/>
        </w:rPr>
        <w:t>a</w:t>
      </w:r>
      <w:r w:rsidR="00D17DAE" w:rsidRPr="006009EB">
        <w:rPr>
          <w:rFonts w:ascii="Roboto" w:hAnsi="Roboto"/>
          <w:sz w:val="28"/>
        </w:rPr>
        <w:t xml:space="preserve">ccess to </w:t>
      </w:r>
      <w:r w:rsidR="00DD3BE3">
        <w:rPr>
          <w:rFonts w:ascii="Roboto" w:hAnsi="Roboto"/>
          <w:b/>
          <w:sz w:val="28"/>
        </w:rPr>
        <w:t>a</w:t>
      </w:r>
      <w:r w:rsidR="00D17DAE" w:rsidRPr="006009EB">
        <w:rPr>
          <w:rFonts w:ascii="Roboto" w:hAnsi="Roboto"/>
          <w:b/>
          <w:sz w:val="28"/>
        </w:rPr>
        <w:t>ll C</w:t>
      </w:r>
      <w:r w:rsidR="00DD3BE3">
        <w:rPr>
          <w:rFonts w:ascii="Roboto" w:hAnsi="Roboto"/>
          <w:b/>
          <w:sz w:val="28"/>
        </w:rPr>
        <w:t>OMPLIANCE</w:t>
      </w:r>
      <w:r w:rsidR="00D17DAE" w:rsidRPr="006009EB">
        <w:rPr>
          <w:rFonts w:ascii="Roboto" w:hAnsi="Roboto"/>
          <w:b/>
          <w:sz w:val="28"/>
        </w:rPr>
        <w:t xml:space="preserve"> 2020 </w:t>
      </w:r>
      <w:r w:rsidR="00DD3BE3">
        <w:rPr>
          <w:rFonts w:ascii="Roboto" w:hAnsi="Roboto"/>
          <w:b/>
          <w:sz w:val="28"/>
        </w:rPr>
        <w:t>e</w:t>
      </w:r>
      <w:r w:rsidR="00D17DAE" w:rsidRPr="006009EB">
        <w:rPr>
          <w:rFonts w:ascii="Roboto" w:hAnsi="Roboto"/>
          <w:b/>
          <w:sz w:val="28"/>
        </w:rPr>
        <w:t>vents</w:t>
      </w:r>
      <w:r w:rsidR="00F352D4" w:rsidRPr="006009EB">
        <w:rPr>
          <w:rFonts w:ascii="Roboto" w:hAnsi="Roboto"/>
          <w:b/>
          <w:sz w:val="28"/>
        </w:rPr>
        <w:t xml:space="preserve"> listed below</w:t>
      </w:r>
      <w:r w:rsidRPr="006009EB">
        <w:rPr>
          <w:rFonts w:ascii="Roboto" w:hAnsi="Roboto"/>
          <w:b/>
          <w:sz w:val="28"/>
        </w:rPr>
        <w:t xml:space="preserve"> </w:t>
      </w:r>
      <w:r w:rsidRPr="006009EB">
        <w:rPr>
          <w:rFonts w:ascii="Roboto" w:hAnsi="Roboto"/>
          <w:sz w:val="28"/>
        </w:rPr>
        <w:t>(12+ months of continuous learning)</w:t>
      </w:r>
      <w:r w:rsidR="00D17DAE" w:rsidRPr="006009EB">
        <w:rPr>
          <w:rFonts w:ascii="Roboto" w:hAnsi="Roboto"/>
          <w:sz w:val="28"/>
        </w:rPr>
        <w:t xml:space="preserve"> for </w:t>
      </w:r>
      <w:r w:rsidR="00D17DAE" w:rsidRPr="006009EB">
        <w:rPr>
          <w:rFonts w:ascii="Roboto" w:hAnsi="Roboto"/>
          <w:b/>
          <w:sz w:val="28"/>
        </w:rPr>
        <w:t>$125/month!</w:t>
      </w:r>
      <w:r w:rsidR="006009EB">
        <w:rPr>
          <w:rFonts w:ascii="Roboto" w:hAnsi="Roboto"/>
          <w:b/>
          <w:sz w:val="28"/>
        </w:rPr>
        <w:t xml:space="preserve"> </w:t>
      </w:r>
      <w:hyperlink r:id="rId13" w:anchor="ways-to-subscribe" w:history="1">
        <w:r w:rsidR="006009EB" w:rsidRPr="009B0611">
          <w:rPr>
            <w:rStyle w:val="Hyperlink"/>
            <w:rFonts w:ascii="Roboto" w:hAnsi="Roboto"/>
            <w:b/>
            <w:sz w:val="24"/>
          </w:rPr>
          <w:t>SUBSCRIBE NOW</w:t>
        </w:r>
      </w:hyperlink>
    </w:p>
    <w:p w14:paraId="7C308FFA" w14:textId="54E9EDB4" w:rsidR="00F352D4" w:rsidRDefault="00F352D4" w:rsidP="00D17DAE">
      <w:pPr>
        <w:shd w:val="clear" w:color="auto" w:fill="FFFFFF"/>
        <w:spacing w:before="100" w:beforeAutospacing="1" w:after="100" w:afterAutospacing="1" w:line="330" w:lineRule="atLeast"/>
        <w:rPr>
          <w:rFonts w:ascii="Roboto" w:hAnsi="Roboto"/>
          <w:b/>
        </w:rPr>
      </w:pPr>
      <w:r>
        <w:rPr>
          <w:rFonts w:ascii="Roboto" w:hAnsi="Roboto"/>
          <w:b/>
        </w:rPr>
        <w:t>C</w:t>
      </w:r>
      <w:r w:rsidR="00DD3BE3">
        <w:rPr>
          <w:rFonts w:ascii="Roboto" w:hAnsi="Roboto"/>
          <w:b/>
        </w:rPr>
        <w:t>OMPLIANCE</w:t>
      </w:r>
      <w:r>
        <w:rPr>
          <w:rFonts w:ascii="Roboto" w:hAnsi="Roboto"/>
          <w:b/>
        </w:rPr>
        <w:t xml:space="preserve"> 2020 Events</w:t>
      </w:r>
      <w:r w:rsidR="006009EB">
        <w:rPr>
          <w:rFonts w:ascii="Roboto" w:hAnsi="Roboto"/>
          <w:b/>
        </w:rPr>
        <w:t xml:space="preserve"> </w:t>
      </w:r>
      <w:r w:rsidR="006009EB" w:rsidRPr="006009EB">
        <w:rPr>
          <w:rFonts w:ascii="Roboto" w:hAnsi="Roboto"/>
        </w:rPr>
        <w:t xml:space="preserve">(November 2019 </w:t>
      </w:r>
      <w:r w:rsidR="00E27CC7">
        <w:rPr>
          <w:rFonts w:ascii="Roboto" w:hAnsi="Roboto"/>
        </w:rPr>
        <w:t>through July 2020</w:t>
      </w:r>
      <w:r w:rsidR="006009EB" w:rsidRPr="006009EB">
        <w:rPr>
          <w:rFonts w:ascii="Roboto" w:hAnsi="Roboto"/>
        </w:rPr>
        <w:t>…more to come this year!)</w:t>
      </w:r>
    </w:p>
    <w:p w14:paraId="6E105869" w14:textId="0C474412" w:rsidR="006009EB" w:rsidRPr="00E05E96" w:rsidRDefault="006009EB" w:rsidP="00E05E9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</w:rPr>
      </w:pPr>
      <w:r w:rsidRPr="006009EB">
        <w:rPr>
          <w:rFonts w:ascii="Roboto" w:hAnsi="Roboto"/>
          <w:b/>
        </w:rPr>
        <w:t xml:space="preserve">Trade Compliance and Emerging </w:t>
      </w:r>
      <w:r w:rsidRPr="006009EB">
        <w:rPr>
          <w:rFonts w:ascii="Roboto" w:hAnsi="Roboto"/>
          <w:b/>
          <w:i/>
        </w:rPr>
        <w:t>Policy</w:t>
      </w:r>
      <w:r w:rsidR="00945EAB">
        <w:rPr>
          <w:rFonts w:ascii="Roboto" w:hAnsi="Roboto"/>
          <w:i/>
        </w:rPr>
        <w:t xml:space="preserve"> </w:t>
      </w:r>
      <w:r w:rsidR="00E05E96">
        <w:rPr>
          <w:rFonts w:ascii="Roboto" w:hAnsi="Roboto"/>
          <w:i/>
        </w:rPr>
        <w:t>–</w:t>
      </w:r>
      <w:r w:rsidR="00945EAB" w:rsidRPr="00E05E96">
        <w:rPr>
          <w:rFonts w:ascii="Roboto" w:hAnsi="Roboto"/>
          <w:i/>
        </w:rPr>
        <w:t xml:space="preserve"> </w:t>
      </w:r>
      <w:r w:rsidRPr="00E05E96">
        <w:rPr>
          <w:rFonts w:ascii="Roboto" w:hAnsi="Roboto"/>
          <w:i/>
        </w:rPr>
        <w:t>21 world</w:t>
      </w:r>
      <w:r w:rsidR="00E679DE" w:rsidRPr="00E05E96">
        <w:rPr>
          <w:rFonts w:ascii="Roboto" w:hAnsi="Roboto"/>
          <w:i/>
        </w:rPr>
        <w:t>-</w:t>
      </w:r>
      <w:r w:rsidRPr="00E05E96">
        <w:rPr>
          <w:rFonts w:ascii="Roboto" w:hAnsi="Roboto"/>
          <w:i/>
        </w:rPr>
        <w:t xml:space="preserve">recognized compliance leaders present </w:t>
      </w:r>
      <w:r w:rsidR="00E05E96">
        <w:rPr>
          <w:rFonts w:ascii="Roboto" w:hAnsi="Roboto"/>
          <w:i/>
        </w:rPr>
        <w:t>six</w:t>
      </w:r>
      <w:r w:rsidRPr="00E05E96">
        <w:rPr>
          <w:rFonts w:ascii="Roboto" w:hAnsi="Roboto"/>
          <w:i/>
        </w:rPr>
        <w:t xml:space="preserve"> virtual workshops</w:t>
      </w:r>
      <w:r w:rsidRPr="00E05E96">
        <w:rPr>
          <w:rFonts w:ascii="Roboto" w:hAnsi="Roboto"/>
        </w:rPr>
        <w:t xml:space="preserve"> </w:t>
      </w:r>
      <w:r w:rsidR="00945EAB" w:rsidRPr="00E05E96">
        <w:rPr>
          <w:rFonts w:ascii="Roboto" w:hAnsi="Roboto"/>
        </w:rPr>
        <w:t>(</w:t>
      </w:r>
      <w:r w:rsidRPr="00E05E96">
        <w:rPr>
          <w:rFonts w:ascii="Roboto" w:hAnsi="Roboto"/>
        </w:rPr>
        <w:t>July 23-24, 2020</w:t>
      </w:r>
      <w:r w:rsidR="00945EAB" w:rsidRPr="00E05E96">
        <w:rPr>
          <w:rFonts w:ascii="Roboto" w:hAnsi="Roboto"/>
        </w:rPr>
        <w:t>)</w:t>
      </w:r>
    </w:p>
    <w:p w14:paraId="041CB83F" w14:textId="77777777" w:rsidR="006009EB" w:rsidRDefault="006009EB" w:rsidP="006009EB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  <w:b/>
        </w:rPr>
      </w:pPr>
      <w:r w:rsidRPr="006009EB">
        <w:rPr>
          <w:rFonts w:ascii="Roboto" w:hAnsi="Roboto"/>
          <w:b/>
        </w:rPr>
        <w:t>Export Controls for Cyber Secu</w:t>
      </w:r>
      <w:r>
        <w:rPr>
          <w:rFonts w:ascii="Roboto" w:hAnsi="Roboto"/>
          <w:b/>
        </w:rPr>
        <w:t>rity and Digital Transformation</w:t>
      </w:r>
      <w:r w:rsidRPr="006009EB">
        <w:rPr>
          <w:rFonts w:ascii="Roboto" w:hAnsi="Roboto"/>
          <w:i/>
        </w:rPr>
        <w:t xml:space="preserve"> presented by Louverture Jones, Deloitte &amp; </w:t>
      </w:r>
      <w:proofErr w:type="spellStart"/>
      <w:r w:rsidRPr="006009EB">
        <w:rPr>
          <w:rFonts w:ascii="Roboto" w:hAnsi="Roboto"/>
          <w:i/>
        </w:rPr>
        <w:t>Touche</w:t>
      </w:r>
      <w:proofErr w:type="spellEnd"/>
      <w:r w:rsidRPr="006009EB">
        <w:rPr>
          <w:rFonts w:ascii="Roboto" w:hAnsi="Roboto"/>
          <w:i/>
        </w:rPr>
        <w:t xml:space="preserve"> LLP; Sean Ryan, Deloitte Tax LLP</w:t>
      </w:r>
      <w:r>
        <w:rPr>
          <w:rFonts w:ascii="Roboto" w:hAnsi="Roboto"/>
          <w:i/>
        </w:rPr>
        <w:t xml:space="preserve"> </w:t>
      </w:r>
      <w:r>
        <w:rPr>
          <w:rFonts w:ascii="Roboto" w:hAnsi="Roboto"/>
        </w:rPr>
        <w:t>(Recorded June 2020)</w:t>
      </w:r>
    </w:p>
    <w:p w14:paraId="5CD5055A" w14:textId="38A3BE16" w:rsidR="00F352D4" w:rsidRDefault="00F352D4" w:rsidP="00F352D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  <w:b/>
        </w:rPr>
      </w:pPr>
      <w:r w:rsidRPr="00F352D4">
        <w:rPr>
          <w:rFonts w:ascii="Roboto" w:hAnsi="Roboto"/>
          <w:b/>
        </w:rPr>
        <w:t>The Future of US/UK Trade – Who Will Come Out a Winner</w:t>
      </w:r>
      <w:r w:rsidRPr="006009EB">
        <w:rPr>
          <w:rFonts w:ascii="Roboto" w:hAnsi="Roboto"/>
        </w:rPr>
        <w:t xml:space="preserve">? </w:t>
      </w:r>
      <w:r w:rsidRPr="006009EB">
        <w:rPr>
          <w:rFonts w:ascii="Roboto" w:hAnsi="Roboto"/>
          <w:i/>
        </w:rPr>
        <w:t xml:space="preserve">A roundtable with Frank </w:t>
      </w:r>
      <w:proofErr w:type="spellStart"/>
      <w:r w:rsidRPr="006009EB">
        <w:rPr>
          <w:rFonts w:ascii="Roboto" w:hAnsi="Roboto"/>
          <w:i/>
        </w:rPr>
        <w:t>Samolis</w:t>
      </w:r>
      <w:proofErr w:type="spellEnd"/>
      <w:r w:rsidRPr="006009EB">
        <w:rPr>
          <w:rFonts w:ascii="Roboto" w:hAnsi="Roboto"/>
          <w:i/>
        </w:rPr>
        <w:t>, Matthew Kirk, and George Grammas (moderator) of Squire Patton Boggs</w:t>
      </w:r>
      <w:r w:rsidR="00945EAB">
        <w:rPr>
          <w:rFonts w:ascii="Roboto" w:hAnsi="Roboto"/>
          <w:i/>
        </w:rPr>
        <w:t xml:space="preserve"> </w:t>
      </w:r>
      <w:r w:rsidR="006009EB">
        <w:rPr>
          <w:rFonts w:ascii="Roboto" w:hAnsi="Roboto"/>
        </w:rPr>
        <w:t>(Recorded May 2020)</w:t>
      </w:r>
    </w:p>
    <w:p w14:paraId="733B3DEF" w14:textId="77777777" w:rsidR="00F352D4" w:rsidRPr="00F352D4" w:rsidRDefault="00F352D4" w:rsidP="00F352D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  <w:b/>
        </w:rPr>
      </w:pPr>
      <w:r w:rsidRPr="00F352D4">
        <w:rPr>
          <w:rFonts w:ascii="Roboto" w:hAnsi="Roboto"/>
          <w:b/>
        </w:rPr>
        <w:t xml:space="preserve">Update on New Rules Regarding Exports to China </w:t>
      </w:r>
      <w:r w:rsidRPr="00F352D4">
        <w:rPr>
          <w:rFonts w:ascii="Roboto" w:hAnsi="Roboto"/>
          <w:i/>
        </w:rPr>
        <w:t>presented by Kevin Wolf of Akin Gump</w:t>
      </w:r>
      <w:r>
        <w:rPr>
          <w:rFonts w:ascii="Roboto" w:hAnsi="Roboto"/>
          <w:b/>
        </w:rPr>
        <w:t xml:space="preserve"> </w:t>
      </w:r>
      <w:r>
        <w:rPr>
          <w:rFonts w:ascii="Roboto" w:hAnsi="Roboto"/>
        </w:rPr>
        <w:t>(Recorded April</w:t>
      </w:r>
      <w:r w:rsidRPr="00F352D4">
        <w:rPr>
          <w:rFonts w:ascii="Roboto" w:hAnsi="Roboto"/>
        </w:rPr>
        <w:t xml:space="preserve"> 2020)</w:t>
      </w:r>
    </w:p>
    <w:p w14:paraId="42C3FDC6" w14:textId="2F261086" w:rsidR="00F352D4" w:rsidRPr="00F352D4" w:rsidRDefault="00F352D4" w:rsidP="00F352D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  <w:b/>
        </w:rPr>
      </w:pPr>
      <w:r w:rsidRPr="00F352D4">
        <w:rPr>
          <w:rFonts w:ascii="Roboto" w:hAnsi="Roboto"/>
          <w:b/>
        </w:rPr>
        <w:lastRenderedPageBreak/>
        <w:t xml:space="preserve">Emerging and Foundational Technologies and CFIUS for Export Compliance Professionals </w:t>
      </w:r>
      <w:r w:rsidRPr="00F352D4">
        <w:rPr>
          <w:rFonts w:ascii="Roboto" w:hAnsi="Roboto"/>
          <w:i/>
        </w:rPr>
        <w:t xml:space="preserve">presented by George Grammas, Squire Patton Boggs </w:t>
      </w:r>
      <w:r w:rsidRPr="00F352D4">
        <w:rPr>
          <w:rFonts w:ascii="Roboto" w:hAnsi="Roboto"/>
        </w:rPr>
        <w:t>(Recorded February 2020)</w:t>
      </w:r>
    </w:p>
    <w:p w14:paraId="73EB69D2" w14:textId="77777777" w:rsidR="00F352D4" w:rsidRDefault="00F352D4" w:rsidP="00F352D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  <w:b/>
        </w:rPr>
      </w:pPr>
      <w:r w:rsidRPr="00F352D4">
        <w:rPr>
          <w:rFonts w:ascii="Roboto" w:hAnsi="Roboto"/>
          <w:b/>
        </w:rPr>
        <w:t>The Law, Policy, and Practice of the EAR’s Unverified List, Entit</w:t>
      </w:r>
      <w:r>
        <w:rPr>
          <w:rFonts w:ascii="Roboto" w:hAnsi="Roboto"/>
          <w:b/>
        </w:rPr>
        <w:t>y List, and Denied Persons List</w:t>
      </w:r>
      <w:r w:rsidRPr="00F352D4">
        <w:rPr>
          <w:rFonts w:ascii="Roboto" w:hAnsi="Roboto"/>
          <w:b/>
        </w:rPr>
        <w:t xml:space="preserve"> </w:t>
      </w:r>
      <w:r w:rsidRPr="00F352D4">
        <w:rPr>
          <w:rFonts w:ascii="Roboto" w:hAnsi="Roboto"/>
          <w:i/>
        </w:rPr>
        <w:t>presented by Kevin Wolf of Akin Gump</w:t>
      </w:r>
      <w:r>
        <w:rPr>
          <w:rFonts w:ascii="Roboto" w:hAnsi="Roboto"/>
          <w:b/>
        </w:rPr>
        <w:t xml:space="preserve"> </w:t>
      </w:r>
      <w:r w:rsidRPr="00F352D4">
        <w:rPr>
          <w:rFonts w:ascii="Roboto" w:hAnsi="Roboto"/>
        </w:rPr>
        <w:t>(Recorded January 2020)</w:t>
      </w:r>
    </w:p>
    <w:p w14:paraId="294795C7" w14:textId="77777777" w:rsidR="00F352D4" w:rsidRPr="00F352D4" w:rsidRDefault="00F352D4" w:rsidP="00F352D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Roboto" w:hAnsi="Roboto"/>
          <w:b/>
        </w:rPr>
      </w:pPr>
      <w:r>
        <w:rPr>
          <w:rFonts w:ascii="Roboto" w:hAnsi="Roboto"/>
          <w:b/>
        </w:rPr>
        <w:t>Globalization of Export Compliance &amp; Sanctions; Emerging &amp; Fou</w:t>
      </w:r>
      <w:r w:rsidR="006009EB">
        <w:rPr>
          <w:rFonts w:ascii="Roboto" w:hAnsi="Roboto"/>
          <w:b/>
        </w:rPr>
        <w:t>n</w:t>
      </w:r>
      <w:r>
        <w:rPr>
          <w:rFonts w:ascii="Roboto" w:hAnsi="Roboto"/>
          <w:b/>
        </w:rPr>
        <w:t xml:space="preserve">dational Technologies; Refinement of Export Control Reform Principles </w:t>
      </w:r>
      <w:r w:rsidRPr="00F352D4">
        <w:rPr>
          <w:rFonts w:ascii="Roboto" w:hAnsi="Roboto"/>
        </w:rPr>
        <w:t>(Recorded November 2019)</w:t>
      </w:r>
    </w:p>
    <w:p w14:paraId="3A49A9C4" w14:textId="77777777" w:rsidR="00F352D4" w:rsidRPr="00D17DAE" w:rsidRDefault="00F352D4" w:rsidP="00D17DAE">
      <w:pPr>
        <w:shd w:val="clear" w:color="auto" w:fill="FFFFFF"/>
        <w:spacing w:before="100" w:beforeAutospacing="1" w:after="100" w:afterAutospacing="1" w:line="330" w:lineRule="atLeast"/>
        <w:rPr>
          <w:rFonts w:ascii="Roboto" w:hAnsi="Roboto"/>
          <w:b/>
        </w:rPr>
      </w:pPr>
    </w:p>
    <w:p w14:paraId="3702A011" w14:textId="77777777" w:rsidR="00511A4D" w:rsidRPr="00D17DAE" w:rsidRDefault="00511A4D" w:rsidP="00D17DAE">
      <w:pPr>
        <w:shd w:val="clear" w:color="auto" w:fill="FFFFFF"/>
        <w:spacing w:before="100" w:beforeAutospacing="1" w:after="100" w:afterAutospacing="1" w:line="330" w:lineRule="atLeast"/>
        <w:ind w:left="1440"/>
        <w:contextualSpacing/>
        <w:rPr>
          <w:rFonts w:ascii="Roboto" w:hAnsi="Roboto"/>
        </w:rPr>
      </w:pPr>
    </w:p>
    <w:sectPr w:rsidR="00511A4D" w:rsidRPr="00D17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65394"/>
    <w:multiLevelType w:val="multilevel"/>
    <w:tmpl w:val="439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C4E7E"/>
    <w:multiLevelType w:val="hybridMultilevel"/>
    <w:tmpl w:val="DD7A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4DA2"/>
    <w:multiLevelType w:val="multilevel"/>
    <w:tmpl w:val="1688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26F17"/>
    <w:multiLevelType w:val="hybridMultilevel"/>
    <w:tmpl w:val="21A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7700F"/>
    <w:multiLevelType w:val="hybridMultilevel"/>
    <w:tmpl w:val="615E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82DD7"/>
    <w:multiLevelType w:val="hybridMultilevel"/>
    <w:tmpl w:val="86DAE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CwNDQ1NjMxszQxMTRR0lEKTi0uzszPAykwqgUAX5GlEiwAAAA="/>
  </w:docVars>
  <w:rsids>
    <w:rsidRoot w:val="00581D7D"/>
    <w:rsid w:val="001943FF"/>
    <w:rsid w:val="002678CA"/>
    <w:rsid w:val="002B5DB3"/>
    <w:rsid w:val="003A5DDC"/>
    <w:rsid w:val="00511A4D"/>
    <w:rsid w:val="005563E7"/>
    <w:rsid w:val="00581D7D"/>
    <w:rsid w:val="006009EB"/>
    <w:rsid w:val="00607C06"/>
    <w:rsid w:val="007822B5"/>
    <w:rsid w:val="00784A79"/>
    <w:rsid w:val="0084530A"/>
    <w:rsid w:val="00945EAB"/>
    <w:rsid w:val="009B0611"/>
    <w:rsid w:val="00A51174"/>
    <w:rsid w:val="00D17DAE"/>
    <w:rsid w:val="00DD3BE3"/>
    <w:rsid w:val="00E05E96"/>
    <w:rsid w:val="00E27CC7"/>
    <w:rsid w:val="00E679DE"/>
    <w:rsid w:val="00E70027"/>
    <w:rsid w:val="00F117B7"/>
    <w:rsid w:val="00F3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79A5"/>
  <w15:docId w15:val="{179F2C79-B612-4383-BA2A-33C528EC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7D"/>
    <w:pPr>
      <w:ind w:left="720"/>
      <w:contextualSpacing/>
    </w:pPr>
  </w:style>
  <w:style w:type="paragraph" w:customStyle="1" w:styleId="speaker-name">
    <w:name w:val="speaker-name"/>
    <w:basedOn w:val="Normal"/>
    <w:rsid w:val="0084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ignation">
    <w:name w:val="designation"/>
    <w:basedOn w:val="Normal"/>
    <w:rsid w:val="0084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00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1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compliance.courses/pages/practitioner" TargetMode="External"/><Relationship Id="rId13" Type="http://schemas.openxmlformats.org/officeDocument/2006/relationships/hyperlink" Target="https://tradecompliance.courses/pages/practitio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compliance.courses/pages/practitioner" TargetMode="External"/><Relationship Id="rId12" Type="http://schemas.openxmlformats.org/officeDocument/2006/relationships/hyperlink" Target="https://tradecompliance.courses/collections/individual/products/us-export-clearance-for-practition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decompliance.courses/pages/practitioner" TargetMode="External"/><Relationship Id="rId11" Type="http://schemas.openxmlformats.org/officeDocument/2006/relationships/hyperlink" Target="https://tradecompliance.courses/collections/individual/products/us-export-authorization-for-practitioners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tradecompliance.courses/collections/individual/products/us-export-classification-for-practition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decompliance.courses/collections/individual/products/foundations-of-us-export-compliance-for-practition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Mikah Sellers | Content Enablers</cp:lastModifiedBy>
  <cp:revision>2</cp:revision>
  <dcterms:created xsi:type="dcterms:W3CDTF">2020-07-01T16:54:00Z</dcterms:created>
  <dcterms:modified xsi:type="dcterms:W3CDTF">2020-07-01T16:54:00Z</dcterms:modified>
</cp:coreProperties>
</file>