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46" w:rsidRDefault="007A6AC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7A6ACE">
      <w:pPr>
        <w:rPr>
          <w:b/>
          <w:sz w:val="44"/>
          <w:szCs w:val="44"/>
        </w:rPr>
      </w:pPr>
    </w:p>
    <w:p w:rsidR="00416446" w:rsidRPr="00416446" w:rsidRDefault="007A6AC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AF0574">
            <w:r>
              <w:t>Westinghouse Electric Company LLC</w:t>
            </w:r>
          </w:p>
        </w:tc>
      </w:tr>
      <w:tr w:rsidR="00997798">
        <w:tc>
          <w:tcPr>
            <w:tcW w:w="2448" w:type="dxa"/>
          </w:tcPr>
          <w:p w:rsidR="00997798" w:rsidRDefault="00997798">
            <w:r>
              <w:t>Job Title</w:t>
            </w:r>
          </w:p>
        </w:tc>
        <w:tc>
          <w:tcPr>
            <w:tcW w:w="6408" w:type="dxa"/>
          </w:tcPr>
          <w:p w:rsidR="00997798" w:rsidRDefault="00AF0574">
            <w:r>
              <w:t>Director, Global Trade Compliance</w:t>
            </w:r>
          </w:p>
        </w:tc>
      </w:tr>
      <w:tr w:rsidR="00997798">
        <w:tc>
          <w:tcPr>
            <w:tcW w:w="2448" w:type="dxa"/>
          </w:tcPr>
          <w:p w:rsidR="00997798" w:rsidRDefault="00997798">
            <w:r>
              <w:t>Location</w:t>
            </w:r>
          </w:p>
        </w:tc>
        <w:tc>
          <w:tcPr>
            <w:tcW w:w="6408" w:type="dxa"/>
          </w:tcPr>
          <w:p w:rsidR="00997798" w:rsidRDefault="00AF0574">
            <w:r>
              <w:t>Cranberry Twp., PA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997798"/>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13-Aug-2019</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Director, Global Trade Compliance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29806BR</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US - Cranberry Twp, PA</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Job Responsibilities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Are you interested in being part of an innovative team that supports Westinghouse’s mission to provide clean energy solutions? At Westinghouse, we recognize that our employees are our most valuable asset and we seek to identify, attract and recruit the most qualified talent while recognizing and encouraging the value of diversity in the global workplace.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If this sounds like an environment you would thrive in, we have an exciting opportunity for a Director, Global Trade Compliance on our Global Trade Compliance team at our headquarters location in Cranberry Township, PA.</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Reporting to the Chief Compliance Officer, the Director – Global Trade Compliance is responsible for the overall design, implementation, and management of the global trade compliance department to ensure that Westinghouse is in compliance with international, federal, state, and local regulatory requirements, as related to Westinghouse global trade activities.  The Director must have extensive knowledge and/or experience with the export regulations of the US Department of Energy; the US Nuclear Regulatory Commission; the US Department of Commerce; the US Department of State; the US Department of Treasury; US Customs and Border Protection Regulations, and other similar regulatory bodies abroad.</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Your Day to Day:</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Provide overall management of the Westinghouse global trade compliance program</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Provide guidance and leadership to business management on export, import, and other trade compliance matters and to assist in the development of strategies to support projects that are needed to meet global growth objectives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Develop, implement, and maintain company policies and procedures to ensure compliance with applicable domestic and foreign regulations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lastRenderedPageBreak/>
        <w:t>Lead internal investigations and audits and assist with negotiations with appropriate agencies in instances of non-compliance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Supervise other trade compliance management and professionals and ensure appropriate development opportunities are available beyond day-to-day activities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Anticipate issues, strategically assess risks, and identify proactive solutions that will mitigate trade compliance risks in the business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Liaise with IT and IP organizations on issues of compliance and protecting technology including data management practices across the company</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Lead/generate export licenses/authorization with the US Department of Energy, US Nuclear Regulatory Commission, and US Department of Commerce.</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Minimum Requirements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 xml:space="preserve">Bachelor’s Degree in Business, International Trade, or related field; Advanced Degree preferred </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Minimum of 10 years of import/export experience</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Education LevelBachelors Degree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Years of Experience</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10+ Years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Benefits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"Why Westinghouse?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Westinghouse Electric Company is the global nuclear energy industry’s first choice for safe, clean, and efficient energy solutions. We enable our delivery of this vision by living our value system:</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Safety &amp; Quality First</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Valuing Ethics, Integrity &amp; Diversity</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Passion for Serving Our Customers Globally</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Dedication to Each Other Through Servant Leadership</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Creating Value for Shareholders, Customers and Employees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Consistently Delivering Our Commitments.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Westinghouse offers competitive benefits to all our employees around the globe to keep them healthy and enhance their well-being. In the U.S. the following are representative of what we offer:</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Competitive Salary</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Comprehensive Health, Wellness and Income Protection Benefits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401(k) Savings Plan with Company Match</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Paid Vacations and Holidays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Opportunities for Flexible Work Arrangements</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Educational Reimbursement Program</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Employee Referral Program</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lastRenderedPageBreak/>
        <w:t xml:space="preserve">While our Global Headquarters are located in Cranberry Township, PA, we have over 9,000 employees working at locations in 19 different countries. You can learn more by visiting link http://www.westinghousenuclear.com./careers/ </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EOE of Minorities / Females / Vets / Disability.</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Keep in mind that only applications completed and submitted via the Westinghouse Careers website will be considered. You can submit your completed application, and also explore other available options, using the following link: link http://www.westinghousenuclear.com/careers/</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Get connected with Westinghouse on social media:</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Twitter | Facebook | LinkedIn| YouTube</w:t>
      </w: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w:t>
      </w: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p>
    <w:p w:rsidR="00AF0574" w:rsidRPr="00AF0574" w:rsidRDefault="00AF0574" w:rsidP="00AF0574">
      <w:pPr>
        <w:rPr>
          <w:rFonts w:ascii="inherit" w:hAnsi="inherit" w:cs="Arial"/>
          <w:color w:val="232323"/>
          <w:sz w:val="20"/>
          <w:szCs w:val="20"/>
        </w:rPr>
      </w:pPr>
      <w:r w:rsidRPr="00AF0574">
        <w:rPr>
          <w:rFonts w:ascii="inherit" w:hAnsi="inherit" w:cs="Arial"/>
          <w:color w:val="232323"/>
          <w:sz w:val="20"/>
          <w:szCs w:val="20"/>
        </w:rPr>
        <w:t>Notice</w:t>
      </w:r>
    </w:p>
    <w:p w:rsidR="00AF0574" w:rsidRPr="00AF0574" w:rsidRDefault="00AF0574" w:rsidP="00AF0574">
      <w:pPr>
        <w:rPr>
          <w:rFonts w:ascii="inherit" w:hAnsi="inherit" w:cs="Arial"/>
          <w:color w:val="232323"/>
          <w:sz w:val="20"/>
          <w:szCs w:val="20"/>
        </w:rPr>
      </w:pPr>
    </w:p>
    <w:p w:rsidR="00997798" w:rsidRDefault="00AF0574" w:rsidP="00AF0574">
      <w:pPr>
        <w:rPr>
          <w:b/>
          <w:sz w:val="32"/>
          <w:szCs w:val="32"/>
          <w:u w:val="single"/>
        </w:rPr>
      </w:pPr>
      <w:r w:rsidRPr="00AF0574">
        <w:rPr>
          <w:rFonts w:ascii="inherit" w:hAnsi="inherit" w:cs="Arial"/>
          <w:color w:val="232323"/>
          <w:sz w:val="20"/>
          <w:szCs w:val="20"/>
        </w:rPr>
        <w:t>Employment opportunities for positions in the United States may require use of information which is subject to the export control regulations of the United States. Hiring decisions for such positions are required by law to be made in compliance with these regulations. Applicants for employment opportunities in other countries must be able to meet the comparable export control requirements of that country and of the United States.</w:t>
      </w:r>
      <w:bookmarkStart w:id="0" w:name="_GoBack"/>
      <w:bookmarkEnd w:id="0"/>
    </w:p>
    <w:p w:rsidR="00997798" w:rsidRDefault="00997798" w:rsidP="00997798">
      <w:pPr>
        <w:outlineLvl w:val="0"/>
        <w:rPr>
          <w:b/>
          <w:sz w:val="32"/>
          <w:szCs w:val="32"/>
          <w:u w:val="single"/>
        </w:rPr>
      </w:pPr>
      <w:r>
        <w:rPr>
          <w:b/>
          <w:sz w:val="32"/>
          <w:szCs w:val="32"/>
          <w:u w:val="single"/>
        </w:rPr>
        <w:t>Contact Information to Apply</w:t>
      </w:r>
    </w:p>
    <w:p w:rsidR="00AF0574" w:rsidRDefault="00AF0574" w:rsidP="00997798">
      <w:pPr>
        <w:outlineLvl w:val="0"/>
        <w:rPr>
          <w:b/>
          <w:sz w:val="32"/>
          <w:szCs w:val="32"/>
          <w:u w:val="single"/>
        </w:rPr>
      </w:pPr>
    </w:p>
    <w:p w:rsidR="00AF0574" w:rsidRDefault="00AF0574" w:rsidP="00997798">
      <w:pPr>
        <w:outlineLvl w:val="0"/>
        <w:rPr>
          <w:b/>
          <w:sz w:val="32"/>
          <w:szCs w:val="32"/>
          <w:u w:val="single"/>
        </w:rPr>
      </w:pPr>
      <w:hyperlink r:id="rId6" w:anchor="jobDetails=2643000_113" w:history="1">
        <w:r>
          <w:rPr>
            <w:rStyle w:val="Hyperlink"/>
          </w:rPr>
          <w:t>https://sjobs.brassring.com/TgNewUI/Search/Home/Home?partnerid=11716&amp;siteid=113#jobDetails=2643000_113</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AF0574">
      <w:pgSz w:w="12240" w:h="15840" w:code="1"/>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55250"/>
    <w:multiLevelType w:val="multilevel"/>
    <w:tmpl w:val="1BB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D42E7"/>
    <w:multiLevelType w:val="multilevel"/>
    <w:tmpl w:val="C242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D40BA"/>
    <w:multiLevelType w:val="multilevel"/>
    <w:tmpl w:val="A61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7A6ACE"/>
    <w:rsid w:val="00997798"/>
    <w:rsid w:val="00AF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BF19"/>
  <w15:chartTrackingRefBased/>
  <w15:docId w15:val="{53AF6585-C635-4516-9D4A-DE842C3F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F0574"/>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9"/>
    <w:rsid w:val="00AF0574"/>
    <w:rPr>
      <w:b/>
      <w:bCs/>
      <w:kern w:val="36"/>
      <w:sz w:val="48"/>
      <w:szCs w:val="48"/>
    </w:rPr>
  </w:style>
  <w:style w:type="paragraph" w:customStyle="1" w:styleId="answer">
    <w:name w:val="answer"/>
    <w:basedOn w:val="Normal"/>
    <w:rsid w:val="00AF0574"/>
    <w:pPr>
      <w:spacing w:before="100" w:beforeAutospacing="1" w:after="100" w:afterAutospacing="1"/>
    </w:pPr>
  </w:style>
  <w:style w:type="paragraph" w:customStyle="1" w:styleId="question">
    <w:name w:val="question"/>
    <w:basedOn w:val="Normal"/>
    <w:rsid w:val="00AF0574"/>
    <w:pPr>
      <w:spacing w:before="100" w:beforeAutospacing="1" w:after="100" w:afterAutospacing="1"/>
    </w:pPr>
  </w:style>
  <w:style w:type="paragraph" w:styleId="NormalWeb">
    <w:name w:val="Normal (Web)"/>
    <w:basedOn w:val="Normal"/>
    <w:uiPriority w:val="99"/>
    <w:unhideWhenUsed/>
    <w:rsid w:val="00AF0574"/>
    <w:pPr>
      <w:spacing w:before="100" w:beforeAutospacing="1" w:after="100" w:afterAutospacing="1"/>
    </w:pPr>
  </w:style>
  <w:style w:type="character" w:styleId="Hyperlink">
    <w:name w:val="Hyperlink"/>
    <w:uiPriority w:val="99"/>
    <w:unhideWhenUsed/>
    <w:rsid w:val="00AF0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80269">
      <w:bodyDiv w:val="1"/>
      <w:marLeft w:val="0"/>
      <w:marRight w:val="0"/>
      <w:marTop w:val="0"/>
      <w:marBottom w:val="0"/>
      <w:divBdr>
        <w:top w:val="none" w:sz="0" w:space="0" w:color="auto"/>
        <w:left w:val="none" w:sz="0" w:space="0" w:color="auto"/>
        <w:bottom w:val="none" w:sz="0" w:space="0" w:color="auto"/>
        <w:right w:val="none" w:sz="0" w:space="0" w:color="auto"/>
      </w:divBdr>
      <w:divsChild>
        <w:div w:id="77410992">
          <w:marLeft w:val="0"/>
          <w:marRight w:val="0"/>
          <w:marTop w:val="0"/>
          <w:marBottom w:val="0"/>
          <w:divBdr>
            <w:top w:val="none" w:sz="0" w:space="0" w:color="auto"/>
            <w:left w:val="none" w:sz="0" w:space="0" w:color="auto"/>
            <w:bottom w:val="none" w:sz="0" w:space="0" w:color="auto"/>
            <w:right w:val="none" w:sz="0" w:space="0" w:color="auto"/>
          </w:divBdr>
        </w:div>
        <w:div w:id="331372332">
          <w:marLeft w:val="0"/>
          <w:marRight w:val="0"/>
          <w:marTop w:val="0"/>
          <w:marBottom w:val="0"/>
          <w:divBdr>
            <w:top w:val="none" w:sz="0" w:space="0" w:color="auto"/>
            <w:left w:val="none" w:sz="0" w:space="0" w:color="auto"/>
            <w:bottom w:val="none" w:sz="0" w:space="0" w:color="auto"/>
            <w:right w:val="none" w:sz="0" w:space="0" w:color="auto"/>
          </w:divBdr>
        </w:div>
        <w:div w:id="1382288524">
          <w:marLeft w:val="0"/>
          <w:marRight w:val="0"/>
          <w:marTop w:val="0"/>
          <w:marBottom w:val="0"/>
          <w:divBdr>
            <w:top w:val="none" w:sz="0" w:space="0" w:color="auto"/>
            <w:left w:val="none" w:sz="0" w:space="0" w:color="auto"/>
            <w:bottom w:val="none" w:sz="0" w:space="0" w:color="auto"/>
            <w:right w:val="none" w:sz="0" w:space="0" w:color="auto"/>
          </w:divBdr>
        </w:div>
        <w:div w:id="1467623352">
          <w:marLeft w:val="0"/>
          <w:marRight w:val="0"/>
          <w:marTop w:val="0"/>
          <w:marBottom w:val="0"/>
          <w:divBdr>
            <w:top w:val="none" w:sz="0" w:space="0" w:color="auto"/>
            <w:left w:val="none" w:sz="0" w:space="0" w:color="auto"/>
            <w:bottom w:val="none" w:sz="0" w:space="0" w:color="auto"/>
            <w:right w:val="none" w:sz="0" w:space="0" w:color="auto"/>
          </w:divBdr>
        </w:div>
        <w:div w:id="303170070">
          <w:marLeft w:val="0"/>
          <w:marRight w:val="0"/>
          <w:marTop w:val="0"/>
          <w:marBottom w:val="0"/>
          <w:divBdr>
            <w:top w:val="none" w:sz="0" w:space="0" w:color="auto"/>
            <w:left w:val="none" w:sz="0" w:space="0" w:color="auto"/>
            <w:bottom w:val="none" w:sz="0" w:space="0" w:color="auto"/>
            <w:right w:val="none" w:sz="0" w:space="0" w:color="auto"/>
          </w:divBdr>
        </w:div>
        <w:div w:id="412362695">
          <w:marLeft w:val="0"/>
          <w:marRight w:val="0"/>
          <w:marTop w:val="0"/>
          <w:marBottom w:val="0"/>
          <w:divBdr>
            <w:top w:val="none" w:sz="0" w:space="0" w:color="auto"/>
            <w:left w:val="none" w:sz="0" w:space="0" w:color="auto"/>
            <w:bottom w:val="none" w:sz="0" w:space="0" w:color="auto"/>
            <w:right w:val="none" w:sz="0" w:space="0" w:color="auto"/>
          </w:divBdr>
        </w:div>
        <w:div w:id="2132284811">
          <w:marLeft w:val="0"/>
          <w:marRight w:val="0"/>
          <w:marTop w:val="0"/>
          <w:marBottom w:val="0"/>
          <w:divBdr>
            <w:top w:val="none" w:sz="0" w:space="0" w:color="auto"/>
            <w:left w:val="none" w:sz="0" w:space="0" w:color="auto"/>
            <w:bottom w:val="none" w:sz="0" w:space="0" w:color="auto"/>
            <w:right w:val="none" w:sz="0" w:space="0" w:color="auto"/>
          </w:divBdr>
        </w:div>
        <w:div w:id="1940746774">
          <w:marLeft w:val="0"/>
          <w:marRight w:val="0"/>
          <w:marTop w:val="0"/>
          <w:marBottom w:val="0"/>
          <w:divBdr>
            <w:top w:val="none" w:sz="0" w:space="0" w:color="auto"/>
            <w:left w:val="none" w:sz="0" w:space="0" w:color="auto"/>
            <w:bottom w:val="none" w:sz="0" w:space="0" w:color="auto"/>
            <w:right w:val="none" w:sz="0" w:space="0" w:color="auto"/>
          </w:divBdr>
        </w:div>
        <w:div w:id="1816409749">
          <w:marLeft w:val="0"/>
          <w:marRight w:val="0"/>
          <w:marTop w:val="0"/>
          <w:marBottom w:val="0"/>
          <w:divBdr>
            <w:top w:val="none" w:sz="0" w:space="0" w:color="auto"/>
            <w:left w:val="none" w:sz="0" w:space="0" w:color="auto"/>
            <w:bottom w:val="none" w:sz="0" w:space="0" w:color="auto"/>
            <w:right w:val="none" w:sz="0" w:space="0" w:color="auto"/>
          </w:divBdr>
        </w:div>
        <w:div w:id="2398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jobs.brassring.com/TgNewUI/Search/Home/Home?partnerid=11716&amp;siteid=113"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5285</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Zorzi, Julia M</cp:lastModifiedBy>
  <cp:revision>2</cp:revision>
  <dcterms:created xsi:type="dcterms:W3CDTF">2019-08-26T21:30:00Z</dcterms:created>
  <dcterms:modified xsi:type="dcterms:W3CDTF">2019-08-26T21:30:00Z</dcterms:modified>
</cp:coreProperties>
</file>