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60" w:rsidRPr="00547760" w:rsidRDefault="00547760" w:rsidP="005477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</w:rPr>
      </w:pPr>
      <w:r w:rsidRPr="00547760">
        <w:rPr>
          <w:rFonts w:ascii="Segoe UI" w:eastAsia="Times New Roman" w:hAnsi="Segoe UI" w:cs="Segoe UI"/>
          <w:b/>
          <w:bCs/>
          <w:color w:val="0070C0"/>
          <w:kern w:val="36"/>
          <w:sz w:val="48"/>
          <w:szCs w:val="48"/>
        </w:rPr>
        <w:t xml:space="preserve">General Counsel, Software &amp; </w:t>
      </w:r>
      <w:proofErr w:type="spellStart"/>
      <w:r w:rsidRPr="00547760">
        <w:rPr>
          <w:rFonts w:ascii="Segoe UI" w:eastAsia="Times New Roman" w:hAnsi="Segoe UI" w:cs="Segoe UI"/>
          <w:b/>
          <w:bCs/>
          <w:color w:val="0070C0"/>
          <w:kern w:val="36"/>
          <w:sz w:val="48"/>
          <w:szCs w:val="48"/>
        </w:rPr>
        <w:t>IIoT</w:t>
      </w:r>
      <w:proofErr w:type="spellEnd"/>
    </w:p>
    <w:p w:rsidR="00547760" w:rsidRPr="00547760" w:rsidRDefault="00547760" w:rsidP="005477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547760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JOIN THE INDUSTRY LEADER TO DESIGN THE NEXT GENERATION OF BREAKTHROUGHS</w:t>
      </w:r>
    </w:p>
    <w:p w:rsidR="00547760" w:rsidRPr="00547760" w:rsidRDefault="00547760" w:rsidP="005477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Honeywell Connected Enterprise is a leading software industrial business, harnessing the power of cloud, mobile, data &amp; analytics, </w:t>
      </w:r>
      <w:proofErr w:type="spellStart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IIoT</w:t>
      </w:r>
      <w:proofErr w:type="spellEnd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and design thinking with its extensive domain experience across Aerospace, Buildings, Plant, Worker and Cyber Security. We will incubate, deploy and scale breakthrough software and </w:t>
      </w:r>
      <w:proofErr w:type="spellStart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IIoT</w:t>
      </w:r>
      <w:proofErr w:type="spellEnd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offerings that impact a wide range of industries, improve</w:t>
      </w:r>
      <w:bookmarkStart w:id="0" w:name="_GoBack"/>
      <w:bookmarkEnd w:id="0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quality of life, and truly change the world</w:t>
      </w:r>
    </w:p>
    <w:p w:rsidR="00547760" w:rsidRPr="00547760" w:rsidRDefault="00547760" w:rsidP="00547760">
      <w:p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5477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JOIN OUR ATLANTA TEAM AND…</w:t>
      </w:r>
    </w:p>
    <w:p w:rsidR="00547760" w:rsidRPr="00547760" w:rsidRDefault="00547760" w:rsidP="00547760">
      <w:p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Be an agent of change and a catalyst that is transforming a fortune 100 industrial company into a connected, digital, software leader</w:t>
      </w:r>
    </w:p>
    <w:p w:rsidR="00547760" w:rsidRPr="00547760" w:rsidRDefault="00547760" w:rsidP="00547760">
      <w:p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Work collaboratively in our state of the art software center with like-minded, innovative and passionate people and together bring ideas from inception, to launch, to scaling globally and be part of the digital transformation of the industrialized world</w:t>
      </w:r>
    </w:p>
    <w:p w:rsidR="00547760" w:rsidRPr="00547760" w:rsidRDefault="00547760" w:rsidP="00547760">
      <w:pPr>
        <w:shd w:val="clear" w:color="auto" w:fill="FFFFFF"/>
        <w:spacing w:before="100" w:beforeAutospacing="1" w:after="100" w:afterAutospacing="1" w:line="240" w:lineRule="auto"/>
        <w:rPr>
          <w:rFonts w:ascii="Honeywell Sans Book" w:eastAsia="Times New Roman" w:hAnsi="Honeywell Sans Book" w:cs="Times New Roman"/>
          <w:sz w:val="21"/>
          <w:szCs w:val="21"/>
        </w:rPr>
      </w:pP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As </w:t>
      </w:r>
      <w:r w:rsidRPr="005477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General Counsel, Software &amp; </w:t>
      </w:r>
      <w:proofErr w:type="spellStart"/>
      <w:r w:rsidRPr="005477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IIoT</w:t>
      </w:r>
      <w:proofErr w:type="spellEnd"/>
      <w:r w:rsidRPr="005477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 </w:t>
      </w: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at </w:t>
      </w:r>
      <w:r w:rsidRPr="005477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Honeywell Connected Enterprises</w:t>
      </w: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, this is your opportunity to:</w:t>
      </w:r>
    </w:p>
    <w:p w:rsidR="00547760" w:rsidRPr="00547760" w:rsidRDefault="00547760" w:rsidP="0054776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Be a key member of the global leadership team for, and primary legal advisor to, one or more of our global software and </w:t>
      </w:r>
      <w:proofErr w:type="spellStart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IIoT</w:t>
      </w:r>
      <w:proofErr w:type="spellEnd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businesses (i.e. Connected Plant, Connected Buildings, Connected Worker and/or Cyber Security).</w:t>
      </w:r>
    </w:p>
    <w:p w:rsidR="00547760" w:rsidRPr="00547760" w:rsidRDefault="00547760" w:rsidP="0054776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Provide business and legal advice for strategic initiatives and day to day operations in a fast paced growth environment evaluating opportunities, managing risk and driving cultural change to grow our software and Software as a Service (</w:t>
      </w:r>
      <w:proofErr w:type="spellStart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SaaS</w:t>
      </w:r>
      <w:proofErr w:type="spellEnd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) businesses exponentially</w:t>
      </w:r>
    </w:p>
    <w:p w:rsidR="00547760" w:rsidRPr="00547760" w:rsidRDefault="00547760" w:rsidP="0054776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Drive global commercial sales contract review, negotiation and drafting with intelligent risk taking to deliver customer wins across a range of deal structures and commercial transactions including </w:t>
      </w:r>
      <w:proofErr w:type="spellStart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SaaS</w:t>
      </w:r>
      <w:proofErr w:type="spellEnd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business models, software licensing, customer hosted cloud environments and distribution and reseller agreements</w:t>
      </w:r>
    </w:p>
    <w:p w:rsidR="00547760" w:rsidRPr="00547760" w:rsidRDefault="00547760" w:rsidP="0054776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Enable the transformation of our sales contracts teams and processes to enable them to sell software and </w:t>
      </w:r>
      <w:proofErr w:type="spellStart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SaaS</w:t>
      </w:r>
      <w:proofErr w:type="spellEnd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globally at speed and scale</w:t>
      </w:r>
    </w:p>
    <w:p w:rsidR="00547760" w:rsidRPr="00547760" w:rsidRDefault="00547760" w:rsidP="0054776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Drive partnerships with our customers, technology partners and developer networks including joint marketing, joint development and intellectual property licensing to accelerate development, deployment and sales of our offerings</w:t>
      </w:r>
    </w:p>
    <w:p w:rsidR="00547760" w:rsidRPr="00547760" w:rsidRDefault="00547760" w:rsidP="0054776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Manage business acquisitions, divestitures and joint ventures, including formulation of deal structures, due diligence, analysis of potential legal risks, negotiation of agreements and participation in integration processes</w:t>
      </w:r>
    </w:p>
    <w:p w:rsidR="00547760" w:rsidRPr="00547760" w:rsidRDefault="00547760" w:rsidP="0054776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Effectively manage global regulatory and contractual risk for our offerings (including relating to </w:t>
      </w:r>
      <w:proofErr w:type="spellStart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IIoT</w:t>
      </w:r>
      <w:proofErr w:type="spellEnd"/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, cyber, data governance and privacy laws and regulations) with pro-active global government advocacy and robust compliance and control processes</w:t>
      </w:r>
    </w:p>
    <w:p w:rsidR="00547760" w:rsidRPr="00547760" w:rsidRDefault="00547760" w:rsidP="0054776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Times New Roman" w:eastAsia="Times New Roman" w:hAnsi="Times New Roman" w:cs="Times New Roman"/>
          <w:color w:val="000000"/>
          <w:sz w:val="21"/>
          <w:szCs w:val="21"/>
        </w:rPr>
        <w:t>Pro-actively promote and drive an integrity and compliance culture including preventive law training on a wide variety of topics and leading internal investigations</w:t>
      </w:r>
    </w:p>
    <w:p w:rsidR="00547760" w:rsidRPr="00547760" w:rsidRDefault="00547760" w:rsidP="00547760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Honeywell Sans Book" w:eastAsia="Times New Roman" w:hAnsi="Honeywell Sans Book" w:cs="Times New Roman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sz w:val="21"/>
          <w:szCs w:val="21"/>
        </w:rPr>
        <w:lastRenderedPageBreak/>
        <w:t> </w:t>
      </w:r>
    </w:p>
    <w:p w:rsidR="00547760" w:rsidRPr="00547760" w:rsidRDefault="00547760" w:rsidP="00547760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547760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YOU MUST HAVE</w:t>
      </w:r>
    </w:p>
    <w:p w:rsidR="00547760" w:rsidRPr="00547760" w:rsidRDefault="00547760" w:rsidP="0054776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Registered to practice as a lawyer in a major legal jurisdiction</w:t>
      </w:r>
    </w:p>
    <w:p w:rsidR="00547760" w:rsidRPr="00547760" w:rsidRDefault="00547760" w:rsidP="00547760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547760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WE VALUE</w:t>
      </w:r>
    </w:p>
    <w:p w:rsidR="00547760" w:rsidRPr="00547760" w:rsidRDefault="00547760" w:rsidP="0054776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 xml:space="preserve">Extensive global commercial experience in software, </w:t>
      </w:r>
      <w:proofErr w:type="spellStart"/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SaaS</w:t>
      </w:r>
      <w:proofErr w:type="spellEnd"/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 xml:space="preserve">, cloud, data and analytics, </w:t>
      </w:r>
      <w:proofErr w:type="spellStart"/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IIoT</w:t>
      </w:r>
      <w:proofErr w:type="spellEnd"/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, intellectual property licensing and/or technology transactions</w:t>
      </w:r>
    </w:p>
    <w:p w:rsidR="00547760" w:rsidRPr="00547760" w:rsidRDefault="00547760" w:rsidP="0054776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Deep experience executing commercial sales agreements and customer partnership</w:t>
      </w:r>
    </w:p>
    <w:p w:rsidR="00547760" w:rsidRPr="00547760" w:rsidRDefault="00547760" w:rsidP="0054776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Strong working knowledge of relevant global laws and regulations</w:t>
      </w:r>
    </w:p>
    <w:p w:rsidR="00547760" w:rsidRPr="00547760" w:rsidRDefault="00547760" w:rsidP="0054776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Customer focus and business acumen</w:t>
      </w:r>
    </w:p>
    <w:p w:rsidR="00547760" w:rsidRPr="00547760" w:rsidRDefault="00547760" w:rsidP="0054776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High motivation with boundless energy to get stuff done</w:t>
      </w:r>
    </w:p>
    <w:p w:rsidR="00547760" w:rsidRPr="00547760" w:rsidRDefault="00547760" w:rsidP="0054776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Ability to execute and remove obstacles</w:t>
      </w:r>
    </w:p>
    <w:p w:rsidR="00547760" w:rsidRPr="00547760" w:rsidRDefault="00547760" w:rsidP="0054776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track record of navigating complex and ambiguous environments with intelligent risk taking</w:t>
      </w:r>
    </w:p>
    <w:p w:rsidR="00547760" w:rsidRPr="00547760" w:rsidRDefault="00547760" w:rsidP="0054776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Ability to influence and lead at all levels</w:t>
      </w:r>
    </w:p>
    <w:p w:rsidR="00547760" w:rsidRPr="00547760" w:rsidRDefault="00547760" w:rsidP="0054776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Desire to innovate and challenge the status quo</w:t>
      </w:r>
    </w:p>
    <w:p w:rsidR="00547760" w:rsidRPr="00547760" w:rsidRDefault="00547760" w:rsidP="00547760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547760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INCLUDES</w:t>
      </w:r>
    </w:p>
    <w:p w:rsidR="00547760" w:rsidRPr="00547760" w:rsidRDefault="00547760" w:rsidP="00547760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Relocation Provided</w:t>
      </w:r>
    </w:p>
    <w:p w:rsidR="00547760" w:rsidRPr="00547760" w:rsidRDefault="00547760" w:rsidP="00547760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547760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ADDITIONAL INFORMATION</w:t>
      </w:r>
    </w:p>
    <w:p w:rsidR="00547760" w:rsidRPr="00547760" w:rsidRDefault="00547760" w:rsidP="00547760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b/>
          <w:bCs/>
          <w:color w:val="333333"/>
          <w:sz w:val="21"/>
          <w:szCs w:val="21"/>
        </w:rPr>
        <w:t>Job ID: </w:t>
      </w: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req173307</w:t>
      </w:r>
    </w:p>
    <w:p w:rsidR="00547760" w:rsidRPr="00547760" w:rsidRDefault="00547760" w:rsidP="00547760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b/>
          <w:bCs/>
          <w:color w:val="333333"/>
          <w:sz w:val="21"/>
          <w:szCs w:val="21"/>
        </w:rPr>
        <w:t>Job Function: </w:t>
      </w: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Legal </w:t>
      </w:r>
    </w:p>
    <w:p w:rsidR="00547760" w:rsidRPr="00547760" w:rsidRDefault="00547760" w:rsidP="00547760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b/>
          <w:bCs/>
          <w:color w:val="333333"/>
          <w:sz w:val="21"/>
          <w:szCs w:val="21"/>
        </w:rPr>
        <w:t>Relocation Tier:</w:t>
      </w:r>
    </w:p>
    <w:p w:rsidR="00547760" w:rsidRPr="00547760" w:rsidRDefault="00547760" w:rsidP="00547760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b/>
          <w:bCs/>
          <w:color w:val="333333"/>
          <w:sz w:val="21"/>
          <w:szCs w:val="21"/>
        </w:rPr>
        <w:t>Security Clearance:</w:t>
      </w:r>
    </w:p>
    <w:p w:rsidR="00547760" w:rsidRPr="00547760" w:rsidRDefault="00547760" w:rsidP="00547760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b/>
          <w:bCs/>
          <w:color w:val="333333"/>
          <w:sz w:val="21"/>
          <w:szCs w:val="21"/>
        </w:rPr>
        <w:t>Aviation Authority (FAA for US):</w:t>
      </w:r>
    </w:p>
    <w:p w:rsidR="00547760" w:rsidRPr="00547760" w:rsidRDefault="00547760" w:rsidP="00547760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b/>
          <w:bCs/>
          <w:color w:val="333333"/>
          <w:sz w:val="21"/>
          <w:szCs w:val="21"/>
        </w:rPr>
        <w:t>Band: </w:t>
      </w: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04</w:t>
      </w:r>
    </w:p>
    <w:p w:rsidR="00547760" w:rsidRPr="00547760" w:rsidRDefault="00547760" w:rsidP="00547760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b/>
          <w:bCs/>
          <w:color w:val="333333"/>
          <w:sz w:val="21"/>
          <w:szCs w:val="21"/>
        </w:rPr>
        <w:t>Referral Bonus: </w:t>
      </w: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3,000.00</w:t>
      </w:r>
    </w:p>
    <w:p w:rsidR="00547760" w:rsidRPr="00547760" w:rsidRDefault="00547760" w:rsidP="00547760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Honeywell Sans Book" w:eastAsia="Times New Roman" w:hAnsi="Honeywell Sans Book" w:cs="Times New Roman"/>
          <w:color w:val="333333"/>
          <w:sz w:val="21"/>
          <w:szCs w:val="21"/>
        </w:rPr>
      </w:pPr>
      <w:r w:rsidRPr="00547760">
        <w:rPr>
          <w:rFonts w:ascii="Honeywell Sans Book" w:eastAsia="Times New Roman" w:hAnsi="Honeywell Sans Book" w:cs="Times New Roman"/>
          <w:b/>
          <w:bCs/>
          <w:color w:val="333333"/>
          <w:sz w:val="21"/>
          <w:szCs w:val="21"/>
        </w:rPr>
        <w:lastRenderedPageBreak/>
        <w:t>Requisition Type: </w:t>
      </w:r>
      <w:r w:rsidRPr="00547760">
        <w:rPr>
          <w:rFonts w:ascii="Honeywell Sans Book" w:eastAsia="Times New Roman" w:hAnsi="Honeywell Sans Book" w:cs="Times New Roman"/>
          <w:color w:val="333333"/>
          <w:sz w:val="21"/>
          <w:szCs w:val="21"/>
        </w:rPr>
        <w:t>Standard Requisition</w:t>
      </w:r>
    </w:p>
    <w:p w:rsidR="002C5897" w:rsidRDefault="002C5897"/>
    <w:sectPr w:rsidR="002C5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neywell Sans 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689A"/>
    <w:multiLevelType w:val="multilevel"/>
    <w:tmpl w:val="3066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A933F0"/>
    <w:multiLevelType w:val="multilevel"/>
    <w:tmpl w:val="9DF4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3E605C"/>
    <w:multiLevelType w:val="multilevel"/>
    <w:tmpl w:val="FEFA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F14E0C"/>
    <w:multiLevelType w:val="multilevel"/>
    <w:tmpl w:val="B026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431169"/>
    <w:multiLevelType w:val="multilevel"/>
    <w:tmpl w:val="26F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60"/>
    <w:rsid w:val="002C5897"/>
    <w:rsid w:val="005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3226</Characters>
  <Application>Microsoft Office Word</Application>
  <DocSecurity>0</DocSecurity>
  <Lines>26</Lines>
  <Paragraphs>7</Paragraphs>
  <ScaleCrop>false</ScaleCrop>
  <Company>Randstad USA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Yericherla, Likhi</dc:creator>
  <cp:lastModifiedBy>Yericherla, Likhi</cp:lastModifiedBy>
  <cp:revision>1</cp:revision>
  <dcterms:created xsi:type="dcterms:W3CDTF">2019-05-09T21:38:00Z</dcterms:created>
  <dcterms:modified xsi:type="dcterms:W3CDTF">2019-05-09T21:39:00Z</dcterms:modified>
</cp:coreProperties>
</file>