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553F8" w14:textId="77777777" w:rsidR="00D96376" w:rsidRDefault="00D96376" w:rsidP="00D96376">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rPr>
      </w:pPr>
      <w:r w:rsidRPr="00D96376">
        <w:rPr>
          <w:rFonts w:ascii="Arial" w:eastAsia="Times New Roman" w:hAnsi="Arial" w:cs="Arial"/>
          <w:b/>
          <w:bCs/>
          <w:color w:val="0070C0"/>
          <w:kern w:val="36"/>
          <w:sz w:val="48"/>
          <w:szCs w:val="48"/>
        </w:rPr>
        <w:t>Senior Paralegal</w:t>
      </w:r>
    </w:p>
    <w:p w14:paraId="21231C79" w14:textId="77777777" w:rsidR="00D96376" w:rsidRPr="00D96376" w:rsidRDefault="00D96376" w:rsidP="00D96376">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rPr>
      </w:pPr>
      <w:r w:rsidRPr="00D96376">
        <w:rPr>
          <w:rFonts w:ascii="Arial" w:eastAsia="Times New Roman" w:hAnsi="Arial" w:cs="Arial"/>
          <w:caps/>
          <w:color w:val="5F5F5F"/>
          <w:sz w:val="21"/>
          <w:szCs w:val="21"/>
        </w:rPr>
        <w:t>DRIVING INFINITE POSSIBILITIES WITHIN A DIVERSIFIED, GLOBAL ORGANIZATION</w:t>
      </w:r>
    </w:p>
    <w:p w14:paraId="5B081D74" w14:textId="77777777" w:rsidR="00D96376" w:rsidRPr="00D96376" w:rsidRDefault="00D96376" w:rsidP="00D96376">
      <w:pPr>
        <w:shd w:val="clear" w:color="auto" w:fill="FFFFFF"/>
        <w:spacing w:before="100" w:beforeAutospacing="1" w:after="375" w:line="240" w:lineRule="auto"/>
        <w:rPr>
          <w:rFonts w:ascii="Arial" w:eastAsia="Times New Roman" w:hAnsi="Arial" w:cs="Arial"/>
          <w:sz w:val="24"/>
          <w:szCs w:val="24"/>
        </w:rPr>
      </w:pPr>
      <w:r w:rsidRPr="00D96376">
        <w:rPr>
          <w:rFonts w:ascii="Arial" w:eastAsia="Times New Roman" w:hAnsi="Arial" w:cs="Arial"/>
          <w:sz w:val="20"/>
          <w:szCs w:val="20"/>
        </w:rPr>
        <w:t>There is an immediate opening for a Paralegal in the Morris Plains, N.J. headquarters to support the Litigation Center of Excellence (COE) including the Legal Operations function. Working closely with the GC of Global Litigation, the paralegal will be responsible for acquiring and maintaining intellectual control of the company’s historical litigation data.  The paralegal will be responsible for creating standard and customized reports based on data extracted from the company’s matter management and electronic billing platforms.  The paralegal will also be responsible for supporting litigated matters. Working directly with internal and external counsel, the paralegal will identify and locate company records; research and document corporate history and transactions; organize documents for purposes of review; and will locate, contact and interview current and former employees and third parties to obtain information pertinent to litigated matters. Qualified candidates will have experience in matter management and litigation support tools, off-site records archival systems, web-based legal research tools and eDiscovery applications and technologies.</w:t>
      </w:r>
    </w:p>
    <w:p w14:paraId="615EE0A0" w14:textId="77777777" w:rsidR="00D96376" w:rsidRPr="00D96376" w:rsidRDefault="00D96376" w:rsidP="00D96376">
      <w:pPr>
        <w:shd w:val="clear" w:color="auto" w:fill="FFFFFF"/>
        <w:spacing w:before="100" w:beforeAutospacing="1" w:after="195" w:line="330" w:lineRule="atLeast"/>
        <w:rPr>
          <w:rFonts w:ascii="Arial" w:eastAsia="Times New Roman" w:hAnsi="Arial" w:cs="Arial"/>
          <w:sz w:val="21"/>
          <w:szCs w:val="21"/>
        </w:rPr>
      </w:pPr>
      <w:r w:rsidRPr="00D96376">
        <w:rPr>
          <w:rFonts w:ascii="Arial" w:eastAsia="Times New Roman" w:hAnsi="Arial" w:cs="Arial"/>
          <w:sz w:val="20"/>
          <w:szCs w:val="20"/>
        </w:rPr>
        <w:t>Responsibilities include:</w:t>
      </w:r>
    </w:p>
    <w:p w14:paraId="0FDC5323" w14:textId="77777777" w:rsidR="00D96376" w:rsidRPr="00D96376" w:rsidRDefault="00D96376" w:rsidP="00D96376">
      <w:pPr>
        <w:shd w:val="clear" w:color="auto" w:fill="FFFFFF"/>
        <w:spacing w:before="100" w:beforeAutospacing="1" w:after="195" w:line="330" w:lineRule="atLeast"/>
        <w:rPr>
          <w:rFonts w:ascii="Arial" w:eastAsia="Times New Roman" w:hAnsi="Arial" w:cs="Arial"/>
          <w:sz w:val="21"/>
          <w:szCs w:val="21"/>
        </w:rPr>
      </w:pPr>
      <w:r w:rsidRPr="00D96376">
        <w:rPr>
          <w:rFonts w:ascii="Arial" w:eastAsia="Times New Roman" w:hAnsi="Arial" w:cs="Arial"/>
          <w:sz w:val="14"/>
          <w:szCs w:val="14"/>
        </w:rPr>
        <w:t> </w:t>
      </w:r>
      <w:r w:rsidRPr="00D96376">
        <w:rPr>
          <w:rFonts w:ascii="Arial" w:eastAsia="Times New Roman" w:hAnsi="Arial" w:cs="Arial"/>
          <w:sz w:val="20"/>
          <w:szCs w:val="20"/>
        </w:rPr>
        <w:t>Oversee matter management and electronic billing system</w:t>
      </w:r>
    </w:p>
    <w:p w14:paraId="126E269B" w14:textId="77777777" w:rsidR="00D96376" w:rsidRPr="00D96376" w:rsidRDefault="00D96376" w:rsidP="00D96376">
      <w:pPr>
        <w:shd w:val="clear" w:color="auto" w:fill="FFFFFF"/>
        <w:spacing w:before="100" w:beforeAutospacing="1" w:after="19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Track and provide data and analytics for Litigation reporting</w:t>
      </w:r>
    </w:p>
    <w:p w14:paraId="26CBC753"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Prepare monthly, quarterly, annual and ad hoc reports with quick turnaround</w:t>
      </w:r>
    </w:p>
    <w:p w14:paraId="72AA8BC6"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Create high quality presentations as needed</w:t>
      </w:r>
    </w:p>
    <w:p w14:paraId="13C115DB"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Manage and coordinate service of process</w:t>
      </w:r>
    </w:p>
    <w:p w14:paraId="71702DD3"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Coordinate and execute activities relating to the identification, preservation and collection of information pertinent to litigated matters</w:t>
      </w:r>
    </w:p>
    <w:p w14:paraId="779AEB7D"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Provide discovery recommendations, plans and time-lines to the responsible in-house attorney</w:t>
      </w:r>
    </w:p>
    <w:p w14:paraId="0D4913B9"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Plan, schedule and implement paper collections</w:t>
      </w:r>
    </w:p>
    <w:p w14:paraId="478656AE"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Identify, locate and scope record custodians</w:t>
      </w:r>
    </w:p>
    <w:p w14:paraId="07B82D14"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Send and track Legal Hold notifications</w:t>
      </w:r>
    </w:p>
    <w:p w14:paraId="3FA5FFE7"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Assist eDiscovery Manager to plan, schedule and implement electronic collections</w:t>
      </w:r>
    </w:p>
    <w:p w14:paraId="5E571E21"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lastRenderedPageBreak/>
        <w:t>·</w:t>
      </w:r>
      <w:r w:rsidRPr="00D96376">
        <w:rPr>
          <w:rFonts w:ascii="Arial" w:eastAsia="Times New Roman" w:hAnsi="Arial" w:cs="Arial"/>
          <w:sz w:val="14"/>
          <w:szCs w:val="14"/>
        </w:rPr>
        <w:t>         </w:t>
      </w:r>
      <w:r w:rsidRPr="00D96376">
        <w:rPr>
          <w:rFonts w:ascii="Arial" w:eastAsia="Times New Roman" w:hAnsi="Arial" w:cs="Arial"/>
          <w:sz w:val="20"/>
          <w:szCs w:val="20"/>
        </w:rPr>
        <w:t>Work with internal attorneys to conduct custodian interviews</w:t>
      </w:r>
    </w:p>
    <w:p w14:paraId="4F2BB054"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Assist in the preparation of written discovery responses and document productions</w:t>
      </w:r>
    </w:p>
    <w:p w14:paraId="5A186646"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Manage subpoena responses</w:t>
      </w:r>
    </w:p>
    <w:p w14:paraId="75186A83"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Act as a liaison between company attorneys, employees, and outside counsel</w:t>
      </w:r>
    </w:p>
    <w:p w14:paraId="44BB10AF"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Serve as Records Custodian for deposition as needed</w:t>
      </w:r>
    </w:p>
    <w:p w14:paraId="577BF565"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Support Legal Operations function as needed</w:t>
      </w:r>
    </w:p>
    <w:p w14:paraId="49820C24" w14:textId="77777777" w:rsidR="00D96376" w:rsidRPr="00D96376" w:rsidRDefault="00D96376" w:rsidP="00D96376">
      <w:pPr>
        <w:shd w:val="clear" w:color="auto" w:fill="FFFFFF"/>
        <w:spacing w:before="100" w:beforeAutospacing="1" w:after="375" w:line="330" w:lineRule="atLeast"/>
        <w:ind w:left="360"/>
        <w:rPr>
          <w:rFonts w:ascii="Arial" w:eastAsia="Times New Roman" w:hAnsi="Arial" w:cs="Arial"/>
          <w:sz w:val="21"/>
          <w:szCs w:val="21"/>
        </w:rPr>
      </w:pPr>
      <w:r w:rsidRPr="00D96376">
        <w:rPr>
          <w:rFonts w:ascii="Arial" w:eastAsia="Times New Roman" w:hAnsi="Arial" w:cs="Arial"/>
          <w:sz w:val="20"/>
          <w:szCs w:val="20"/>
        </w:rPr>
        <w:t>·</w:t>
      </w:r>
      <w:r w:rsidRPr="00D96376">
        <w:rPr>
          <w:rFonts w:ascii="Arial" w:eastAsia="Times New Roman" w:hAnsi="Arial" w:cs="Arial"/>
          <w:sz w:val="14"/>
          <w:szCs w:val="14"/>
        </w:rPr>
        <w:t>         </w:t>
      </w:r>
      <w:r w:rsidRPr="00D96376">
        <w:rPr>
          <w:rFonts w:ascii="Arial" w:eastAsia="Times New Roman" w:hAnsi="Arial" w:cs="Arial"/>
          <w:sz w:val="20"/>
          <w:szCs w:val="20"/>
        </w:rPr>
        <w:t>Perform other related duties and special projects as assigned by supervising attorney</w:t>
      </w:r>
    </w:p>
    <w:p w14:paraId="1D18A2DD" w14:textId="77777777" w:rsidR="00D96376" w:rsidRPr="00D96376" w:rsidRDefault="00D96376" w:rsidP="00D96376">
      <w:pPr>
        <w:shd w:val="clear" w:color="auto" w:fill="FFFFFF"/>
        <w:spacing w:before="100" w:beforeAutospacing="1" w:after="375" w:line="330" w:lineRule="atLeast"/>
        <w:rPr>
          <w:rFonts w:ascii="Arial" w:eastAsia="Times New Roman" w:hAnsi="Arial" w:cs="Arial"/>
          <w:sz w:val="21"/>
          <w:szCs w:val="21"/>
        </w:rPr>
      </w:pPr>
      <w:r w:rsidRPr="00D96376">
        <w:rPr>
          <w:rFonts w:ascii="Arial" w:eastAsia="Times New Roman" w:hAnsi="Arial" w:cs="Arial"/>
          <w:sz w:val="21"/>
          <w:szCs w:val="21"/>
        </w:rPr>
        <w:t> </w:t>
      </w:r>
    </w:p>
    <w:p w14:paraId="552CAD55" w14:textId="77777777" w:rsidR="00D96376" w:rsidRPr="00D96376" w:rsidRDefault="00D96376" w:rsidP="00D96376">
      <w:pPr>
        <w:shd w:val="clear" w:color="auto" w:fill="FFFFFF"/>
        <w:spacing w:before="100" w:beforeAutospacing="1" w:after="375" w:line="330" w:lineRule="atLeast"/>
        <w:rPr>
          <w:rFonts w:ascii="Arial" w:eastAsia="Times New Roman" w:hAnsi="Arial" w:cs="Arial"/>
          <w:sz w:val="21"/>
          <w:szCs w:val="21"/>
        </w:rPr>
      </w:pPr>
      <w:r w:rsidRPr="00D96376">
        <w:rPr>
          <w:rFonts w:ascii="Arial" w:eastAsia="Times New Roman" w:hAnsi="Arial" w:cs="Arial"/>
          <w:sz w:val="20"/>
          <w:szCs w:val="20"/>
        </w:rPr>
        <w:t>YOU MUST HAVE:</w:t>
      </w:r>
    </w:p>
    <w:p w14:paraId="2E0286CC" w14:textId="77777777" w:rsidR="00D96376" w:rsidRPr="00D96376" w:rsidRDefault="00D96376" w:rsidP="00D96376">
      <w:pPr>
        <w:shd w:val="clear" w:color="auto" w:fill="FFFFFF"/>
        <w:spacing w:before="100" w:beforeAutospacing="1" w:after="375" w:line="330" w:lineRule="atLeast"/>
        <w:rPr>
          <w:rFonts w:ascii="Arial" w:eastAsia="Times New Roman" w:hAnsi="Arial" w:cs="Arial"/>
          <w:sz w:val="21"/>
          <w:szCs w:val="21"/>
        </w:rPr>
      </w:pPr>
      <w:r w:rsidRPr="00D96376">
        <w:rPr>
          <w:rFonts w:ascii="Arial" w:eastAsia="Times New Roman" w:hAnsi="Arial" w:cs="Arial"/>
          <w:sz w:val="20"/>
          <w:szCs w:val="20"/>
        </w:rPr>
        <w:t>Bachelor’s Degree or commensurate experience Paralegal Certificate or law degree 5 years’ minimum experience</w:t>
      </w:r>
    </w:p>
    <w:p w14:paraId="31FA0FAF" w14:textId="77777777" w:rsidR="00D96376" w:rsidRPr="00D96376" w:rsidRDefault="00D96376" w:rsidP="00D96376">
      <w:pPr>
        <w:shd w:val="clear" w:color="auto" w:fill="FFFFFF"/>
        <w:spacing w:before="100" w:beforeAutospacing="1" w:after="375" w:line="330" w:lineRule="atLeast"/>
        <w:rPr>
          <w:rFonts w:ascii="Arial" w:eastAsia="Times New Roman" w:hAnsi="Arial" w:cs="Arial"/>
          <w:sz w:val="21"/>
          <w:szCs w:val="21"/>
        </w:rPr>
      </w:pPr>
      <w:r w:rsidRPr="00D96376">
        <w:rPr>
          <w:rFonts w:ascii="Arial" w:eastAsia="Times New Roman" w:hAnsi="Arial" w:cs="Arial"/>
          <w:sz w:val="20"/>
          <w:szCs w:val="20"/>
        </w:rPr>
        <w:t>WE VALUE:</w:t>
      </w:r>
    </w:p>
    <w:p w14:paraId="613882AA" w14:textId="77777777" w:rsidR="00D96376" w:rsidRPr="00D96376" w:rsidRDefault="00D96376" w:rsidP="00D96376">
      <w:pPr>
        <w:shd w:val="clear" w:color="auto" w:fill="FFFFFF"/>
        <w:spacing w:before="100" w:beforeAutospacing="1" w:after="375" w:line="330" w:lineRule="atLeast"/>
        <w:rPr>
          <w:rFonts w:ascii="Arial" w:eastAsia="Times New Roman" w:hAnsi="Arial" w:cs="Arial"/>
          <w:sz w:val="21"/>
          <w:szCs w:val="21"/>
        </w:rPr>
      </w:pPr>
      <w:r w:rsidRPr="00D96376">
        <w:rPr>
          <w:rFonts w:ascii="Arial" w:eastAsia="Times New Roman" w:hAnsi="Arial" w:cs="Arial"/>
          <w:sz w:val="20"/>
          <w:szCs w:val="20"/>
        </w:rPr>
        <w:t xml:space="preserve">Knowledge of Case Management, </w:t>
      </w:r>
      <w:proofErr w:type="spellStart"/>
      <w:r w:rsidRPr="00D96376">
        <w:rPr>
          <w:rFonts w:ascii="Arial" w:eastAsia="Times New Roman" w:hAnsi="Arial" w:cs="Arial"/>
          <w:sz w:val="20"/>
          <w:szCs w:val="20"/>
        </w:rPr>
        <w:t>eBilling</w:t>
      </w:r>
      <w:proofErr w:type="spellEnd"/>
      <w:r w:rsidRPr="00D96376">
        <w:rPr>
          <w:rFonts w:ascii="Arial" w:eastAsia="Times New Roman" w:hAnsi="Arial" w:cs="Arial"/>
          <w:sz w:val="20"/>
          <w:szCs w:val="20"/>
        </w:rPr>
        <w:t xml:space="preserve">, </w:t>
      </w:r>
      <w:proofErr w:type="spellStart"/>
      <w:r w:rsidRPr="00D96376">
        <w:rPr>
          <w:rFonts w:ascii="Arial" w:eastAsia="Times New Roman" w:hAnsi="Arial" w:cs="Arial"/>
          <w:sz w:val="20"/>
          <w:szCs w:val="20"/>
        </w:rPr>
        <w:t>Cognos</w:t>
      </w:r>
      <w:proofErr w:type="spellEnd"/>
      <w:r w:rsidRPr="00D96376">
        <w:rPr>
          <w:rFonts w:ascii="Arial" w:eastAsia="Times New Roman" w:hAnsi="Arial" w:cs="Arial"/>
          <w:sz w:val="20"/>
          <w:szCs w:val="20"/>
        </w:rPr>
        <w:t xml:space="preserve"> Business Intelligence Software, </w:t>
      </w:r>
      <w:proofErr w:type="spellStart"/>
      <w:r w:rsidRPr="00D96376">
        <w:rPr>
          <w:rFonts w:ascii="Arial" w:eastAsia="Times New Roman" w:hAnsi="Arial" w:cs="Arial"/>
          <w:sz w:val="20"/>
          <w:szCs w:val="20"/>
        </w:rPr>
        <w:t>Passort</w:t>
      </w:r>
      <w:proofErr w:type="spellEnd"/>
      <w:r w:rsidRPr="00D96376">
        <w:rPr>
          <w:rFonts w:ascii="Arial" w:eastAsia="Times New Roman" w:hAnsi="Arial" w:cs="Arial"/>
          <w:sz w:val="20"/>
          <w:szCs w:val="20"/>
        </w:rPr>
        <w:t>, Tableau and Business Object Proficiency in Microsoft applications:</w:t>
      </w:r>
    </w:p>
    <w:p w14:paraId="4FF9A8A5" w14:textId="77777777" w:rsidR="00D96376" w:rsidRPr="00D96376" w:rsidRDefault="00D96376" w:rsidP="00D96376">
      <w:pPr>
        <w:shd w:val="clear" w:color="auto" w:fill="FFFFFF"/>
        <w:spacing w:before="100" w:beforeAutospacing="1" w:after="375" w:line="330" w:lineRule="atLeast"/>
        <w:rPr>
          <w:rFonts w:ascii="Arial" w:eastAsia="Times New Roman" w:hAnsi="Arial" w:cs="Arial"/>
          <w:sz w:val="21"/>
          <w:szCs w:val="21"/>
        </w:rPr>
      </w:pPr>
      <w:r w:rsidRPr="00D96376">
        <w:rPr>
          <w:rFonts w:ascii="Arial" w:eastAsia="Times New Roman" w:hAnsi="Arial" w:cs="Arial"/>
          <w:sz w:val="20"/>
          <w:szCs w:val="20"/>
        </w:rPr>
        <w:t>Ø Excel – formulas (</w:t>
      </w:r>
      <w:proofErr w:type="spellStart"/>
      <w:r w:rsidRPr="00D96376">
        <w:rPr>
          <w:rFonts w:ascii="Arial" w:eastAsia="Times New Roman" w:hAnsi="Arial" w:cs="Arial"/>
          <w:sz w:val="20"/>
          <w:szCs w:val="20"/>
        </w:rPr>
        <w:t>vlookup</w:t>
      </w:r>
      <w:proofErr w:type="spellEnd"/>
      <w:r w:rsidRPr="00D96376">
        <w:rPr>
          <w:rFonts w:ascii="Arial" w:eastAsia="Times New Roman" w:hAnsi="Arial" w:cs="Arial"/>
          <w:sz w:val="20"/>
          <w:szCs w:val="20"/>
        </w:rPr>
        <w:t>), pivot tables, filters, charts, etc.</w:t>
      </w:r>
    </w:p>
    <w:p w14:paraId="37C7A991" w14:textId="77777777" w:rsidR="00D96376" w:rsidRPr="00D96376" w:rsidRDefault="00D96376" w:rsidP="00D96376">
      <w:pPr>
        <w:shd w:val="clear" w:color="auto" w:fill="FFFFFF"/>
        <w:spacing w:before="100" w:beforeAutospacing="1" w:after="375" w:line="330" w:lineRule="atLeast"/>
        <w:rPr>
          <w:rFonts w:ascii="Arial" w:eastAsia="Times New Roman" w:hAnsi="Arial" w:cs="Arial"/>
          <w:sz w:val="21"/>
          <w:szCs w:val="21"/>
        </w:rPr>
      </w:pPr>
      <w:r w:rsidRPr="00D96376">
        <w:rPr>
          <w:rFonts w:ascii="Arial" w:eastAsia="Times New Roman" w:hAnsi="Arial" w:cs="Arial"/>
          <w:sz w:val="20"/>
          <w:szCs w:val="20"/>
        </w:rPr>
        <w:t xml:space="preserve">Ø PowerPoint – creating and editing presentations with graphics, tables and charts Advanced knowledge of discovery processes and technologies such as </w:t>
      </w:r>
      <w:proofErr w:type="spellStart"/>
      <w:r w:rsidRPr="00D96376">
        <w:rPr>
          <w:rFonts w:ascii="Arial" w:eastAsia="Times New Roman" w:hAnsi="Arial" w:cs="Arial"/>
          <w:sz w:val="20"/>
          <w:szCs w:val="20"/>
        </w:rPr>
        <w:t>Exterro</w:t>
      </w:r>
      <w:proofErr w:type="spellEnd"/>
      <w:r w:rsidRPr="00D96376">
        <w:rPr>
          <w:rFonts w:ascii="Arial" w:eastAsia="Times New Roman" w:hAnsi="Arial" w:cs="Arial"/>
          <w:sz w:val="20"/>
          <w:szCs w:val="20"/>
        </w:rPr>
        <w:t xml:space="preserve"> Fusion or similar legal hold tools like IBM/PSS</w:t>
      </w:r>
    </w:p>
    <w:p w14:paraId="01C10189" w14:textId="77777777" w:rsidR="00D96376" w:rsidRPr="00D96376" w:rsidRDefault="00D96376" w:rsidP="00D96376">
      <w:pPr>
        <w:shd w:val="clear" w:color="auto" w:fill="FFFFFF"/>
        <w:spacing w:before="100" w:beforeAutospacing="1" w:after="375" w:line="330" w:lineRule="atLeast"/>
        <w:rPr>
          <w:rFonts w:ascii="Arial" w:eastAsia="Times New Roman" w:hAnsi="Arial" w:cs="Arial"/>
          <w:sz w:val="21"/>
          <w:szCs w:val="21"/>
        </w:rPr>
      </w:pPr>
      <w:r w:rsidRPr="00D96376">
        <w:rPr>
          <w:rFonts w:ascii="Arial" w:eastAsia="Times New Roman" w:hAnsi="Arial" w:cs="Arial"/>
          <w:sz w:val="20"/>
          <w:szCs w:val="20"/>
        </w:rPr>
        <w:t>Atlas Superior research skills including web-based legal research tools Demonstrated problem-solving and analytical skills</w:t>
      </w:r>
    </w:p>
    <w:p w14:paraId="6464A0C9" w14:textId="77777777" w:rsidR="00D96376" w:rsidRPr="00D96376" w:rsidRDefault="00D96376" w:rsidP="00D96376">
      <w:pPr>
        <w:shd w:val="clear" w:color="auto" w:fill="FFFFFF"/>
        <w:spacing w:before="630" w:after="375" w:line="240" w:lineRule="auto"/>
        <w:outlineLvl w:val="2"/>
        <w:rPr>
          <w:rFonts w:ascii="Arial" w:eastAsia="Times New Roman" w:hAnsi="Arial" w:cs="Arial"/>
          <w:b/>
          <w:bCs/>
          <w:caps/>
          <w:color w:val="5F5F5F"/>
          <w:sz w:val="21"/>
          <w:szCs w:val="21"/>
        </w:rPr>
      </w:pPr>
      <w:r w:rsidRPr="00D96376">
        <w:rPr>
          <w:rFonts w:ascii="Arial" w:eastAsia="Times New Roman" w:hAnsi="Arial" w:cs="Arial"/>
          <w:b/>
          <w:bCs/>
          <w:caps/>
          <w:color w:val="5F5F5F"/>
          <w:sz w:val="21"/>
          <w:szCs w:val="21"/>
        </w:rPr>
        <w:t>INCLUDES</w:t>
      </w:r>
    </w:p>
    <w:p w14:paraId="03792BD2" w14:textId="77777777" w:rsidR="00D96376" w:rsidRPr="00D96376" w:rsidRDefault="00D96376" w:rsidP="00D96376">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D96376">
        <w:rPr>
          <w:rFonts w:ascii="Arial" w:eastAsia="Times New Roman" w:hAnsi="Arial" w:cs="Arial"/>
          <w:color w:val="333333"/>
          <w:sz w:val="21"/>
          <w:szCs w:val="21"/>
        </w:rPr>
        <w:lastRenderedPageBreak/>
        <w:t>Continued Professional Development</w:t>
      </w:r>
    </w:p>
    <w:p w14:paraId="5A92D7E0" w14:textId="77777777" w:rsidR="00D96376" w:rsidRPr="00D96376" w:rsidRDefault="00D96376" w:rsidP="00D96376">
      <w:pPr>
        <w:shd w:val="clear" w:color="auto" w:fill="FFFFFF"/>
        <w:spacing w:before="630" w:after="375" w:line="240" w:lineRule="auto"/>
        <w:outlineLvl w:val="2"/>
        <w:rPr>
          <w:rFonts w:ascii="Arial" w:eastAsia="Times New Roman" w:hAnsi="Arial" w:cs="Arial"/>
          <w:b/>
          <w:bCs/>
          <w:caps/>
          <w:color w:val="5F5F5F"/>
          <w:sz w:val="21"/>
          <w:szCs w:val="21"/>
        </w:rPr>
      </w:pPr>
      <w:r w:rsidRPr="00D96376">
        <w:rPr>
          <w:rFonts w:ascii="Arial" w:eastAsia="Times New Roman" w:hAnsi="Arial" w:cs="Arial"/>
          <w:b/>
          <w:bCs/>
          <w:caps/>
          <w:color w:val="5F5F5F"/>
          <w:sz w:val="21"/>
          <w:szCs w:val="21"/>
        </w:rPr>
        <w:t>ADDITIONAL INFORMATION</w:t>
      </w:r>
    </w:p>
    <w:p w14:paraId="4E709C3E" w14:textId="77777777" w:rsidR="00D96376" w:rsidRPr="00D96376" w:rsidRDefault="00D96376" w:rsidP="00D96376">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D96376">
        <w:rPr>
          <w:rFonts w:ascii="Arial" w:eastAsia="Times New Roman" w:hAnsi="Arial" w:cs="Arial"/>
          <w:b/>
          <w:bCs/>
          <w:color w:val="333333"/>
          <w:sz w:val="21"/>
          <w:szCs w:val="21"/>
        </w:rPr>
        <w:t>Job ID: </w:t>
      </w:r>
      <w:bookmarkStart w:id="0" w:name="_GoBack"/>
      <w:r w:rsidRPr="00D96376">
        <w:rPr>
          <w:rFonts w:ascii="Arial" w:eastAsia="Times New Roman" w:hAnsi="Arial" w:cs="Arial"/>
          <w:color w:val="333333"/>
          <w:sz w:val="21"/>
          <w:szCs w:val="21"/>
        </w:rPr>
        <w:t>HRD55771</w:t>
      </w:r>
    </w:p>
    <w:bookmarkEnd w:id="0"/>
    <w:p w14:paraId="5126D7A1" w14:textId="77777777" w:rsidR="00D96376" w:rsidRPr="00D96376" w:rsidRDefault="00D96376" w:rsidP="00D96376">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D96376">
        <w:rPr>
          <w:rFonts w:ascii="Arial" w:eastAsia="Times New Roman" w:hAnsi="Arial" w:cs="Arial"/>
          <w:b/>
          <w:bCs/>
          <w:color w:val="333333"/>
          <w:sz w:val="21"/>
          <w:szCs w:val="21"/>
        </w:rPr>
        <w:t>Job Function: </w:t>
      </w:r>
      <w:r w:rsidRPr="00D96376">
        <w:rPr>
          <w:rFonts w:ascii="Arial" w:eastAsia="Times New Roman" w:hAnsi="Arial" w:cs="Arial"/>
          <w:color w:val="333333"/>
          <w:sz w:val="21"/>
          <w:szCs w:val="21"/>
        </w:rPr>
        <w:t>Legal </w:t>
      </w:r>
    </w:p>
    <w:p w14:paraId="5A2B24E9" w14:textId="77777777" w:rsidR="00D96376" w:rsidRPr="00D96376" w:rsidRDefault="00D96376" w:rsidP="00D96376">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D96376">
        <w:rPr>
          <w:rFonts w:ascii="Arial" w:eastAsia="Times New Roman" w:hAnsi="Arial" w:cs="Arial"/>
          <w:b/>
          <w:bCs/>
          <w:color w:val="333333"/>
          <w:sz w:val="21"/>
          <w:szCs w:val="21"/>
        </w:rPr>
        <w:t>Relocation Tier:</w:t>
      </w:r>
    </w:p>
    <w:p w14:paraId="4433EE4A" w14:textId="77777777" w:rsidR="00D96376" w:rsidRPr="00D96376" w:rsidRDefault="00D96376" w:rsidP="00D96376">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D96376">
        <w:rPr>
          <w:rFonts w:ascii="Arial" w:eastAsia="Times New Roman" w:hAnsi="Arial" w:cs="Arial"/>
          <w:b/>
          <w:bCs/>
          <w:color w:val="333333"/>
          <w:sz w:val="21"/>
          <w:szCs w:val="21"/>
        </w:rPr>
        <w:t>Security Clearance:</w:t>
      </w:r>
    </w:p>
    <w:p w14:paraId="17495916" w14:textId="77777777" w:rsidR="00D96376" w:rsidRPr="00D96376" w:rsidRDefault="00D96376" w:rsidP="00D96376">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D96376">
        <w:rPr>
          <w:rFonts w:ascii="Arial" w:eastAsia="Times New Roman" w:hAnsi="Arial" w:cs="Arial"/>
          <w:b/>
          <w:bCs/>
          <w:color w:val="333333"/>
          <w:sz w:val="21"/>
          <w:szCs w:val="21"/>
        </w:rPr>
        <w:t>Aviation Authority (FAA for US):</w:t>
      </w:r>
    </w:p>
    <w:p w14:paraId="73EB706A" w14:textId="77777777" w:rsidR="00D96376" w:rsidRPr="00D96376" w:rsidRDefault="00D96376" w:rsidP="00D96376">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D96376">
        <w:rPr>
          <w:rFonts w:ascii="Arial" w:eastAsia="Times New Roman" w:hAnsi="Arial" w:cs="Arial"/>
          <w:b/>
          <w:bCs/>
          <w:color w:val="333333"/>
          <w:sz w:val="21"/>
          <w:szCs w:val="21"/>
        </w:rPr>
        <w:t>Band: </w:t>
      </w:r>
      <w:r w:rsidRPr="00D96376">
        <w:rPr>
          <w:rFonts w:ascii="Arial" w:eastAsia="Times New Roman" w:hAnsi="Arial" w:cs="Arial"/>
          <w:color w:val="333333"/>
          <w:sz w:val="21"/>
          <w:szCs w:val="21"/>
        </w:rPr>
        <w:t>03</w:t>
      </w:r>
    </w:p>
    <w:p w14:paraId="2A448107" w14:textId="77777777" w:rsidR="00D96376" w:rsidRPr="00D96376" w:rsidRDefault="00D96376" w:rsidP="00D96376">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D96376">
        <w:rPr>
          <w:rFonts w:ascii="Arial" w:eastAsia="Times New Roman" w:hAnsi="Arial" w:cs="Arial"/>
          <w:b/>
          <w:bCs/>
          <w:color w:val="333333"/>
          <w:sz w:val="21"/>
          <w:szCs w:val="21"/>
        </w:rPr>
        <w:t>Referral Bonus: </w:t>
      </w:r>
      <w:r w:rsidRPr="00D96376">
        <w:rPr>
          <w:rFonts w:ascii="Arial" w:eastAsia="Times New Roman" w:hAnsi="Arial" w:cs="Arial"/>
          <w:color w:val="333333"/>
          <w:sz w:val="21"/>
          <w:szCs w:val="21"/>
        </w:rPr>
        <w:t>1,500.00</w:t>
      </w:r>
    </w:p>
    <w:p w14:paraId="2116C063" w14:textId="77777777" w:rsidR="00D96376" w:rsidRPr="00D96376" w:rsidRDefault="00D96376" w:rsidP="00D96376">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D96376">
        <w:rPr>
          <w:rFonts w:ascii="Arial" w:eastAsia="Times New Roman" w:hAnsi="Arial" w:cs="Arial"/>
          <w:b/>
          <w:bCs/>
          <w:color w:val="333333"/>
          <w:sz w:val="21"/>
          <w:szCs w:val="21"/>
        </w:rPr>
        <w:t>Requisition Type: </w:t>
      </w:r>
      <w:r w:rsidRPr="00D96376">
        <w:rPr>
          <w:rFonts w:ascii="Arial" w:eastAsia="Times New Roman" w:hAnsi="Arial" w:cs="Arial"/>
          <w:color w:val="333333"/>
          <w:sz w:val="21"/>
          <w:szCs w:val="21"/>
        </w:rPr>
        <w:t>Standard Requisition</w:t>
      </w:r>
    </w:p>
    <w:p w14:paraId="00DF5D73" w14:textId="77777777" w:rsidR="00CE4467" w:rsidRPr="00D96376" w:rsidRDefault="00CE4467">
      <w:pPr>
        <w:rPr>
          <w:rFonts w:ascii="Arial" w:hAnsi="Arial" w:cs="Arial"/>
        </w:rPr>
      </w:pPr>
    </w:p>
    <w:sectPr w:rsidR="00CE4467" w:rsidRPr="00D96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3906"/>
    <w:multiLevelType w:val="multilevel"/>
    <w:tmpl w:val="986E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4254E"/>
    <w:multiLevelType w:val="multilevel"/>
    <w:tmpl w:val="D5B2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376"/>
    <w:rsid w:val="00CE4467"/>
    <w:rsid w:val="00D9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D63A"/>
  <w15:chartTrackingRefBased/>
  <w15:docId w15:val="{ADD069DC-147B-46F0-A687-6B89D671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45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Fusco, Brooke</dc:creator>
  <cp:keywords/>
  <dc:description/>
  <cp:lastModifiedBy>Fusco, Brooke</cp:lastModifiedBy>
  <cp:revision>1</cp:revision>
  <dcterms:created xsi:type="dcterms:W3CDTF">2019-02-22T19:06:00Z</dcterms:created>
  <dcterms:modified xsi:type="dcterms:W3CDTF">2019-02-22T19:08:00Z</dcterms:modified>
</cp:coreProperties>
</file>