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7344"/>
        <w:gridCol w:w="3672"/>
      </w:tblGrid>
      <w:tr w:rsidR="007106BB" w:rsidRPr="00E34B42" w:rsidTr="002D4FBA">
        <w:trPr>
          <w:cantSplit/>
          <w:trHeight w:val="68"/>
        </w:trPr>
        <w:tc>
          <w:tcPr>
            <w:tcW w:w="7344" w:type="dxa"/>
            <w:vAlign w:val="center"/>
          </w:tcPr>
          <w:p w:rsidR="007106BB" w:rsidRPr="00E34B42" w:rsidRDefault="007106BB" w:rsidP="002D4FBA">
            <w:pPr>
              <w:pStyle w:val="Header"/>
              <w:tabs>
                <w:tab w:val="clear" w:pos="4320"/>
                <w:tab w:val="clear" w:pos="8640"/>
              </w:tabs>
              <w:spacing w:before="60"/>
              <w:rPr>
                <w:rFonts w:ascii="Verdana" w:hAnsi="Verdana"/>
              </w:rPr>
            </w:pPr>
          </w:p>
        </w:tc>
        <w:tc>
          <w:tcPr>
            <w:tcW w:w="3672" w:type="dxa"/>
          </w:tcPr>
          <w:p w:rsidR="007106BB" w:rsidRPr="00E34B42" w:rsidRDefault="007106BB">
            <w:pPr>
              <w:pStyle w:val="BodyText"/>
            </w:pPr>
            <w:bookmarkStart w:id="0" w:name="zAddress"/>
            <w:bookmarkEnd w:id="0"/>
          </w:p>
        </w:tc>
      </w:tr>
    </w:tbl>
    <w:p w:rsidR="00E34B42" w:rsidRPr="00F6100C" w:rsidRDefault="004827D2" w:rsidP="00E34B42">
      <w:pPr>
        <w:rPr>
          <w:rFonts w:ascii="Verdana" w:hAnsi="Verdana" w:cs="Arial"/>
          <w:b/>
          <w:color w:val="333333"/>
          <w:sz w:val="20"/>
          <w:u w:val="single"/>
        </w:rPr>
      </w:pPr>
      <w:bookmarkStart w:id="1" w:name="_GoBack"/>
      <w:r>
        <w:rPr>
          <w:rFonts w:ascii="Verdana" w:hAnsi="Verdana" w:cs="Arial"/>
          <w:b/>
          <w:color w:val="333333"/>
          <w:sz w:val="20"/>
          <w:u w:val="single"/>
        </w:rPr>
        <w:t xml:space="preserve">SR </w:t>
      </w:r>
      <w:r w:rsidR="00E34B42" w:rsidRPr="00F6100C">
        <w:rPr>
          <w:rFonts w:ascii="Verdana" w:hAnsi="Verdana" w:cs="Arial"/>
          <w:b/>
          <w:color w:val="333333"/>
          <w:sz w:val="20"/>
          <w:u w:val="single"/>
        </w:rPr>
        <w:t>ANALYST</w:t>
      </w:r>
      <w:r w:rsidR="003817B9">
        <w:rPr>
          <w:rFonts w:ascii="Verdana" w:hAnsi="Verdana" w:cs="Arial"/>
          <w:b/>
          <w:color w:val="333333"/>
          <w:sz w:val="20"/>
          <w:u w:val="single"/>
        </w:rPr>
        <w:t xml:space="preserve"> CUSTOMS DUTY STRATEGY</w:t>
      </w:r>
    </w:p>
    <w:bookmarkEnd w:id="1"/>
    <w:p w:rsidR="00E34B42" w:rsidRPr="00E34B42" w:rsidRDefault="00E34B42" w:rsidP="00E34B42">
      <w:pPr>
        <w:rPr>
          <w:rFonts w:ascii="Verdana" w:hAnsi="Verdana" w:cs="Arial"/>
          <w:color w:val="333333"/>
          <w:sz w:val="20"/>
        </w:rPr>
      </w:pPr>
    </w:p>
    <w:p w:rsidR="003817B9"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t xml:space="preserve">JOB SUMMARY: </w:t>
      </w:r>
      <w:r w:rsidRPr="00E34B42">
        <w:rPr>
          <w:rFonts w:ascii="Verdana" w:hAnsi="Verdana" w:cs="Arial"/>
          <w:color w:val="333333"/>
          <w:sz w:val="20"/>
        </w:rPr>
        <w:br/>
      </w:r>
      <w:r w:rsidRPr="00E34B42">
        <w:rPr>
          <w:rFonts w:ascii="Verdana" w:hAnsi="Verdana" w:cs="Arial"/>
          <w:color w:val="333333"/>
          <w:sz w:val="20"/>
        </w:rPr>
        <w:br/>
      </w:r>
      <w:r w:rsidR="003817B9" w:rsidRPr="003817B9">
        <w:rPr>
          <w:rFonts w:ascii="Verdana" w:hAnsi="Verdana" w:cs="Arial"/>
          <w:color w:val="333333"/>
          <w:sz w:val="20"/>
        </w:rPr>
        <w:t>E</w:t>
      </w:r>
      <w:r w:rsidR="003817B9" w:rsidRPr="003817B9">
        <w:rPr>
          <w:rFonts w:ascii="Verdana" w:hAnsi="Verdana" w:cs="Arial"/>
          <w:color w:val="333333"/>
          <w:sz w:val="20"/>
        </w:rPr>
        <w:t>nsure that Bridgestone maintains a streamlined and compliant supply chain, with minimized duty impact on goods imported by Bridgestone, as well as exports of Bridgestone’s finished products worldwide. This includes daily operational tasks as well as leading projects aimed at driving systemic change through efficiency, automation, and process improvement.</w:t>
      </w:r>
    </w:p>
    <w:p w:rsidR="00E34B42" w:rsidRPr="002D4FBA"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t>RESPONSIBILITIES:</w:t>
      </w:r>
      <w:r w:rsidRPr="00E34B42">
        <w:rPr>
          <w:rFonts w:ascii="Verdana" w:hAnsi="Verdana" w:cs="Arial"/>
          <w:color w:val="333333"/>
          <w:sz w:val="20"/>
        </w:rPr>
        <w:br/>
      </w:r>
      <w:r w:rsidR="00013CA5" w:rsidRPr="003506B2">
        <w:rPr>
          <w:rFonts w:ascii="Verdana" w:hAnsi="Verdana" w:cs="Arial"/>
          <w:color w:val="333333"/>
          <w:sz w:val="20"/>
        </w:rPr>
        <w:t xml:space="preserve">The </w:t>
      </w:r>
      <w:r w:rsidR="004827D2" w:rsidRPr="004827D2">
        <w:rPr>
          <w:rFonts w:ascii="Verdana" w:hAnsi="Verdana" w:cs="Arial"/>
          <w:color w:val="333333"/>
          <w:sz w:val="20"/>
        </w:rPr>
        <w:t xml:space="preserve">SR ANALYST </w:t>
      </w:r>
      <w:r w:rsidR="003817B9">
        <w:rPr>
          <w:rFonts w:ascii="Verdana" w:hAnsi="Verdana" w:cs="Arial"/>
          <w:color w:val="333333"/>
          <w:sz w:val="20"/>
        </w:rPr>
        <w:t xml:space="preserve">CUSTOMS DUTY STRATEGY </w:t>
      </w:r>
      <w:r w:rsidR="00013CA5" w:rsidRPr="003506B2">
        <w:rPr>
          <w:rFonts w:ascii="Verdana" w:hAnsi="Verdana" w:cs="Arial"/>
          <w:color w:val="333333"/>
          <w:sz w:val="20"/>
        </w:rPr>
        <w:t xml:space="preserve">will work closely with </w:t>
      </w:r>
      <w:r w:rsidR="00013CA5" w:rsidRPr="00013CA5">
        <w:rPr>
          <w:rFonts w:ascii="Verdana" w:hAnsi="Verdana" w:cs="Arial"/>
          <w:color w:val="333333"/>
          <w:sz w:val="20"/>
        </w:rPr>
        <w:t>local</w:t>
      </w:r>
      <w:r w:rsidR="00013CA5" w:rsidRPr="003506B2">
        <w:rPr>
          <w:rFonts w:ascii="Verdana" w:hAnsi="Verdana" w:cs="Arial"/>
          <w:color w:val="333333"/>
          <w:sz w:val="20"/>
        </w:rPr>
        <w:t xml:space="preserve"> </w:t>
      </w:r>
      <w:r w:rsidR="00013CA5" w:rsidRPr="00013CA5">
        <w:rPr>
          <w:rFonts w:ascii="Verdana" w:hAnsi="Verdana" w:cs="Arial"/>
          <w:color w:val="333333"/>
          <w:sz w:val="20"/>
        </w:rPr>
        <w:t>shipping</w:t>
      </w:r>
      <w:r w:rsidR="00013CA5" w:rsidRPr="003506B2">
        <w:rPr>
          <w:rFonts w:ascii="Verdana" w:hAnsi="Verdana" w:cs="Arial"/>
          <w:color w:val="333333"/>
          <w:sz w:val="20"/>
        </w:rPr>
        <w:t xml:space="preserve"> team</w:t>
      </w:r>
      <w:r w:rsidR="00013CA5" w:rsidRPr="00013CA5">
        <w:rPr>
          <w:rFonts w:ascii="Verdana" w:hAnsi="Verdana" w:cs="Arial"/>
          <w:color w:val="333333"/>
          <w:sz w:val="20"/>
        </w:rPr>
        <w:t>s</w:t>
      </w:r>
      <w:r w:rsidR="00013CA5" w:rsidRPr="003506B2">
        <w:rPr>
          <w:rFonts w:ascii="Verdana" w:hAnsi="Verdana" w:cs="Arial"/>
          <w:color w:val="333333"/>
          <w:sz w:val="20"/>
        </w:rPr>
        <w:t xml:space="preserve"> as well as </w:t>
      </w:r>
      <w:r w:rsidR="00013CA5" w:rsidRPr="00013CA5">
        <w:rPr>
          <w:rFonts w:ascii="Verdana" w:hAnsi="Verdana" w:cs="Arial"/>
          <w:color w:val="333333"/>
          <w:sz w:val="20"/>
        </w:rPr>
        <w:t xml:space="preserve">the </w:t>
      </w:r>
      <w:r w:rsidR="00AC4D9B">
        <w:rPr>
          <w:rFonts w:ascii="Verdana" w:hAnsi="Verdana" w:cs="Arial"/>
          <w:color w:val="333333"/>
          <w:sz w:val="20"/>
        </w:rPr>
        <w:t xml:space="preserve">regional </w:t>
      </w:r>
      <w:r w:rsidR="00013CA5" w:rsidRPr="00013CA5">
        <w:rPr>
          <w:rFonts w:ascii="Verdana" w:hAnsi="Verdana" w:cs="Arial"/>
          <w:color w:val="333333"/>
          <w:sz w:val="20"/>
        </w:rPr>
        <w:t>Trade Compliance team</w:t>
      </w:r>
      <w:r w:rsidR="00013CA5" w:rsidRPr="003506B2">
        <w:rPr>
          <w:rFonts w:ascii="Verdana" w:hAnsi="Verdana" w:cs="Arial"/>
          <w:color w:val="333333"/>
          <w:sz w:val="20"/>
        </w:rPr>
        <w:t xml:space="preserve"> to drive program improvements through information analysis and process management.</w:t>
      </w:r>
      <w:r w:rsidR="00013CA5" w:rsidRPr="003506B2">
        <w:rPr>
          <w:rFonts w:ascii="Arial" w:hAnsi="Arial" w:cs="Arial"/>
          <w:color w:val="3C3C3C"/>
          <w:sz w:val="18"/>
          <w:szCs w:val="18"/>
        </w:rPr>
        <w:t xml:space="preserve">  </w:t>
      </w:r>
    </w:p>
    <w:p w:rsidR="00E34B42" w:rsidRPr="00E34B42" w:rsidRDefault="00E34B42" w:rsidP="00E34B42">
      <w:pPr>
        <w:rPr>
          <w:rFonts w:ascii="Verdana" w:hAnsi="Verdana" w:cs="Arial"/>
          <w:color w:val="333333"/>
          <w:sz w:val="20"/>
        </w:rPr>
      </w:pPr>
      <w:r w:rsidRPr="00E34B42">
        <w:rPr>
          <w:rFonts w:ascii="Verdana" w:hAnsi="Verdana" w:cs="Arial"/>
          <w:color w:val="333333"/>
          <w:sz w:val="20"/>
        </w:rPr>
        <w:t>MAJOR ACCOUNTABILITIES:</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Trade Preference – created process and data management procedures for the solicitation and maintenance of FTA Certificates of Origin as well as the protocols for continuous gathering an</w:t>
      </w:r>
      <w:r>
        <w:rPr>
          <w:rFonts w:ascii="Verdana" w:hAnsi="Verdana" w:cs="Arial"/>
          <w:color w:val="333333"/>
          <w:sz w:val="20"/>
        </w:rPr>
        <w:t>d dissemination of these data.</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Country of Origin – obtain Country of Origin details for all physical parts procured worldwide, as well as determining the Country of Origin of fabricated parts. Serve as subject matter expert on how Country of Origin is imparted and for soliciting, validating, and maintaining all Country of Origin data for</w:t>
      </w:r>
      <w:r>
        <w:rPr>
          <w:rFonts w:ascii="Verdana" w:hAnsi="Verdana" w:cs="Arial"/>
          <w:color w:val="333333"/>
          <w:sz w:val="20"/>
        </w:rPr>
        <w:t xml:space="preserve"> production and service parts.</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FTA Qualification – qualify Bridgestone’s finished products, including its vehicles, for FTAs. This includes NAFTA Averaging, as well as part level qualifications under NAFTA, the Australia</w:t>
      </w:r>
      <w:r>
        <w:rPr>
          <w:rFonts w:ascii="Verdana" w:hAnsi="Verdana" w:cs="Arial"/>
          <w:color w:val="333333"/>
          <w:sz w:val="20"/>
        </w:rPr>
        <w:t>-US FTA, and the Korea-US FTA.</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Duty Drawback – execute data gathering, process development, and communication with Bridgestone’s duty drawback broker to file claims to recover import duties paid on sub-components used with</w:t>
      </w:r>
      <w:r>
        <w:rPr>
          <w:rFonts w:ascii="Verdana" w:hAnsi="Verdana" w:cs="Arial"/>
          <w:color w:val="333333"/>
          <w:sz w:val="20"/>
        </w:rPr>
        <w:t>in exported finished products.</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Customs Data Management – review and audit import records to ensure accurate claims under FTAs. Request and track Post Summary Corrections for recordkeeping and cost recovery as well as for preventing interfere</w:t>
      </w:r>
      <w:r>
        <w:rPr>
          <w:rFonts w:ascii="Verdana" w:hAnsi="Verdana" w:cs="Arial"/>
          <w:color w:val="333333"/>
          <w:sz w:val="20"/>
        </w:rPr>
        <w:t>nce with duty drawback claims.</w:t>
      </w:r>
    </w:p>
    <w:p w:rsidR="003817B9" w:rsidRDefault="003817B9" w:rsidP="003817B9">
      <w:pPr>
        <w:pStyle w:val="ListParagraph"/>
        <w:numPr>
          <w:ilvl w:val="0"/>
          <w:numId w:val="5"/>
        </w:numPr>
        <w:rPr>
          <w:rFonts w:ascii="Verdana" w:hAnsi="Verdana" w:cs="Arial"/>
          <w:color w:val="333333"/>
          <w:sz w:val="20"/>
        </w:rPr>
      </w:pPr>
      <w:r w:rsidRPr="003817B9">
        <w:rPr>
          <w:rFonts w:ascii="Verdana" w:hAnsi="Verdana" w:cs="Arial"/>
          <w:color w:val="333333"/>
          <w:sz w:val="20"/>
        </w:rPr>
        <w:t>Trade Law Analysis – work directly with in-house counsel on matters concerning trade remedy impacts, audit risk, successor-in-interest liability, and recent trade developments directly relevant to Bridgestone.</w:t>
      </w:r>
      <w:r w:rsidR="00E34B42" w:rsidRPr="003817B9">
        <w:rPr>
          <w:rFonts w:ascii="Verdana" w:hAnsi="Verdana" w:cs="Arial"/>
          <w:color w:val="333333"/>
          <w:sz w:val="20"/>
        </w:rPr>
        <w:br/>
      </w:r>
    </w:p>
    <w:p w:rsidR="002D4FBA" w:rsidRPr="003817B9" w:rsidRDefault="00E34B42" w:rsidP="003817B9">
      <w:pPr>
        <w:rPr>
          <w:rFonts w:ascii="Verdana" w:hAnsi="Verdana" w:cs="Arial"/>
          <w:color w:val="333333"/>
          <w:sz w:val="20"/>
        </w:rPr>
      </w:pPr>
      <w:r w:rsidRPr="003817B9">
        <w:rPr>
          <w:rFonts w:ascii="Verdana" w:hAnsi="Verdana" w:cs="Arial"/>
          <w:color w:val="333333"/>
          <w:sz w:val="20"/>
        </w:rPr>
        <w:t xml:space="preserve">REQUIRED QUALIFICATIONS: </w:t>
      </w:r>
    </w:p>
    <w:p w:rsidR="00013CA5" w:rsidRPr="00013CA5" w:rsidRDefault="00013CA5" w:rsidP="00013CA5">
      <w:pPr>
        <w:numPr>
          <w:ilvl w:val="0"/>
          <w:numId w:val="2"/>
        </w:numPr>
        <w:rPr>
          <w:rFonts w:ascii="Verdana" w:hAnsi="Verdana" w:cs="Arial"/>
          <w:color w:val="333333"/>
          <w:sz w:val="20"/>
        </w:rPr>
      </w:pPr>
      <w:r w:rsidRPr="00013CA5">
        <w:rPr>
          <w:rFonts w:ascii="Verdana" w:hAnsi="Verdana" w:cs="Arial"/>
          <w:color w:val="333333"/>
          <w:sz w:val="20"/>
        </w:rPr>
        <w:t xml:space="preserve">Bachelor’s degree in Supply Chain, Business, Operations Management or related Logistics field with a minimum of </w:t>
      </w:r>
      <w:r w:rsidR="003817B9">
        <w:rPr>
          <w:rFonts w:ascii="Verdana" w:hAnsi="Verdana" w:cs="Arial"/>
          <w:color w:val="333333"/>
          <w:sz w:val="20"/>
        </w:rPr>
        <w:t>3</w:t>
      </w:r>
      <w:r w:rsidRPr="00013CA5">
        <w:rPr>
          <w:rFonts w:ascii="Verdana" w:hAnsi="Verdana" w:cs="Arial"/>
          <w:color w:val="333333"/>
          <w:sz w:val="20"/>
        </w:rPr>
        <w:t xml:space="preserve">+ </w:t>
      </w:r>
      <w:r w:rsidR="003F6208">
        <w:rPr>
          <w:rFonts w:ascii="Verdana" w:hAnsi="Verdana" w:cs="Arial"/>
          <w:color w:val="333333"/>
          <w:sz w:val="20"/>
        </w:rPr>
        <w:t>years’ experience in an Import/</w:t>
      </w:r>
      <w:r w:rsidRPr="00013CA5">
        <w:rPr>
          <w:rFonts w:ascii="Verdana" w:hAnsi="Verdana" w:cs="Arial"/>
          <w:color w:val="333333"/>
          <w:sz w:val="20"/>
        </w:rPr>
        <w:t>Export compliance role.</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 xml:space="preserve">Knowledge of Trade Compliance elements (i.e. </w:t>
      </w:r>
      <w:proofErr w:type="spellStart"/>
      <w:r w:rsidRPr="00E34B42">
        <w:rPr>
          <w:rFonts w:ascii="Verdana" w:hAnsi="Verdana" w:cs="Arial"/>
          <w:color w:val="333333"/>
          <w:sz w:val="20"/>
        </w:rPr>
        <w:t>HTS</w:t>
      </w:r>
      <w:proofErr w:type="spellEnd"/>
      <w:r w:rsidRPr="00E34B42">
        <w:rPr>
          <w:rFonts w:ascii="Verdana" w:hAnsi="Verdana" w:cs="Arial"/>
          <w:color w:val="333333"/>
          <w:sz w:val="20"/>
        </w:rPr>
        <w:t xml:space="preserve"> codes, </w:t>
      </w:r>
      <w:r w:rsidR="003817B9">
        <w:rPr>
          <w:rFonts w:ascii="Verdana" w:hAnsi="Verdana" w:cs="Arial"/>
          <w:color w:val="333333"/>
          <w:sz w:val="20"/>
        </w:rPr>
        <w:t>NAFTA, Drawback,</w:t>
      </w:r>
      <w:r w:rsidRPr="00E34B42">
        <w:rPr>
          <w:rFonts w:ascii="Verdana" w:hAnsi="Verdana" w:cs="Arial"/>
          <w:color w:val="333333"/>
          <w:sz w:val="20"/>
        </w:rPr>
        <w:t xml:space="preserve"> etc.)</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 xml:space="preserve">Demonstrated computer proficiency with Microsoft Office, including Word, Excel, Access </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 xml:space="preserve">Demonstrated analytical </w:t>
      </w:r>
      <w:proofErr w:type="gramStart"/>
      <w:r w:rsidRPr="00E34B42">
        <w:rPr>
          <w:rFonts w:ascii="Verdana" w:hAnsi="Verdana" w:cs="Arial"/>
          <w:color w:val="333333"/>
          <w:sz w:val="20"/>
        </w:rPr>
        <w:t>problem solving</w:t>
      </w:r>
      <w:proofErr w:type="gramEnd"/>
      <w:r w:rsidRPr="00E34B42">
        <w:rPr>
          <w:rFonts w:ascii="Verdana" w:hAnsi="Verdana" w:cs="Arial"/>
          <w:color w:val="333333"/>
          <w:sz w:val="20"/>
        </w:rPr>
        <w:t xml:space="preserve"> skills to work with data and numbers</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strong partnering skills, as well as self-directed work management</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exceptional attention to detail and good organizational skills</w:t>
      </w:r>
    </w:p>
    <w:p w:rsidR="00E34B42" w:rsidRPr="00E34B42" w:rsidRDefault="00E34B42" w:rsidP="003817B9">
      <w:pPr>
        <w:numPr>
          <w:ilvl w:val="0"/>
          <w:numId w:val="3"/>
        </w:numPr>
        <w:ind w:left="720" w:hanging="360"/>
        <w:rPr>
          <w:rFonts w:ascii="Verdana" w:hAnsi="Verdana" w:cs="Arial"/>
          <w:color w:val="333333"/>
          <w:sz w:val="20"/>
        </w:rPr>
      </w:pPr>
      <w:r w:rsidRPr="00E34B42">
        <w:rPr>
          <w:rFonts w:ascii="Verdana" w:hAnsi="Verdana" w:cs="Arial"/>
          <w:color w:val="333333"/>
          <w:sz w:val="20"/>
        </w:rPr>
        <w:t>Demonstrated strong project management skills</w:t>
      </w:r>
    </w:p>
    <w:p w:rsidR="00E34B42" w:rsidRPr="00E34B42" w:rsidRDefault="00E34B42" w:rsidP="00E34B42">
      <w:pPr>
        <w:rPr>
          <w:rFonts w:ascii="Verdana" w:hAnsi="Verdana" w:cs="Arial"/>
          <w:color w:val="333333"/>
          <w:sz w:val="20"/>
        </w:rPr>
      </w:pPr>
    </w:p>
    <w:p w:rsidR="00E34B42" w:rsidRPr="00E34B42" w:rsidRDefault="00E34B42" w:rsidP="00E34B42">
      <w:pPr>
        <w:rPr>
          <w:rFonts w:ascii="Verdana" w:hAnsi="Verdana" w:cs="Arial"/>
          <w:color w:val="333333"/>
          <w:sz w:val="20"/>
        </w:rPr>
      </w:pPr>
      <w:r w:rsidRPr="00E34B42">
        <w:rPr>
          <w:rFonts w:ascii="Verdana" w:hAnsi="Verdana" w:cs="Arial"/>
          <w:color w:val="333333"/>
          <w:sz w:val="20"/>
        </w:rPr>
        <w:t>DESIRED QUALIFICATIONS:</w:t>
      </w:r>
    </w:p>
    <w:p w:rsid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 xml:space="preserve">Experience with </w:t>
      </w:r>
      <w:r w:rsidR="003F6208">
        <w:rPr>
          <w:rFonts w:ascii="Verdana" w:hAnsi="Verdana" w:cs="Arial"/>
          <w:color w:val="333333"/>
          <w:sz w:val="20"/>
        </w:rPr>
        <w:t>import/</w:t>
      </w:r>
      <w:r w:rsidRPr="003F6208">
        <w:rPr>
          <w:rFonts w:ascii="Verdana" w:hAnsi="Verdana" w:cs="Arial"/>
          <w:color w:val="333333"/>
          <w:sz w:val="20"/>
        </w:rPr>
        <w:t xml:space="preserve">export regulations </w:t>
      </w:r>
    </w:p>
    <w:p w:rsidR="00E34B42" w:rsidRP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Experience with global supply chain initiatives and customs compliance integration.</w:t>
      </w:r>
    </w:p>
    <w:p w:rsidR="00E34B42" w:rsidRDefault="00E34B42" w:rsidP="00E34B42">
      <w:pPr>
        <w:numPr>
          <w:ilvl w:val="0"/>
          <w:numId w:val="4"/>
        </w:numPr>
        <w:rPr>
          <w:rFonts w:ascii="Verdana" w:hAnsi="Verdana" w:cs="Arial"/>
          <w:color w:val="333333"/>
          <w:sz w:val="20"/>
        </w:rPr>
      </w:pPr>
      <w:r w:rsidRPr="00E34B42">
        <w:rPr>
          <w:rFonts w:ascii="Verdana" w:hAnsi="Verdana" w:cs="Arial"/>
          <w:color w:val="333333"/>
          <w:sz w:val="20"/>
        </w:rPr>
        <w:t>Experience with US Customs helpful</w:t>
      </w:r>
    </w:p>
    <w:p w:rsidR="00B34641" w:rsidRPr="00E34B42" w:rsidRDefault="00B34641" w:rsidP="00E34B42">
      <w:pPr>
        <w:numPr>
          <w:ilvl w:val="0"/>
          <w:numId w:val="4"/>
        </w:numPr>
        <w:rPr>
          <w:rFonts w:ascii="Verdana" w:hAnsi="Verdana" w:cs="Arial"/>
          <w:color w:val="333333"/>
          <w:sz w:val="20"/>
        </w:rPr>
      </w:pPr>
      <w:r>
        <w:rPr>
          <w:rFonts w:ascii="Verdana" w:hAnsi="Verdana" w:cs="Arial"/>
          <w:color w:val="333333"/>
          <w:sz w:val="20"/>
        </w:rPr>
        <w:t>Licensed Customs House Broker</w:t>
      </w:r>
    </w:p>
    <w:p w:rsidR="00AE0ACC" w:rsidRDefault="00B34641" w:rsidP="00B34641">
      <w:pPr>
        <w:numPr>
          <w:ilvl w:val="0"/>
          <w:numId w:val="4"/>
        </w:numPr>
        <w:rPr>
          <w:rFonts w:ascii="Verdana" w:hAnsi="Verdana" w:cs="Arial"/>
          <w:color w:val="333333"/>
          <w:sz w:val="20"/>
        </w:rPr>
      </w:pPr>
      <w:r>
        <w:rPr>
          <w:rFonts w:ascii="Verdana" w:hAnsi="Verdana" w:cs="Arial"/>
          <w:color w:val="333333"/>
          <w:sz w:val="20"/>
        </w:rPr>
        <w:t>Foreign Trade Zone experience helpful</w:t>
      </w:r>
    </w:p>
    <w:p w:rsidR="002D4FBA" w:rsidRDefault="002D4FBA" w:rsidP="002D4FBA">
      <w:pPr>
        <w:rPr>
          <w:rFonts w:ascii="Verdana" w:hAnsi="Verdana" w:cs="Arial"/>
          <w:color w:val="333333"/>
          <w:sz w:val="20"/>
        </w:rPr>
      </w:pPr>
    </w:p>
    <w:p w:rsidR="002D4FBA" w:rsidRDefault="002D4FBA" w:rsidP="002D4FBA">
      <w:pPr>
        <w:rPr>
          <w:rFonts w:ascii="Verdana" w:hAnsi="Verdana" w:cs="Arial"/>
          <w:color w:val="333333"/>
          <w:sz w:val="20"/>
        </w:rPr>
      </w:pPr>
      <w:r>
        <w:rPr>
          <w:rFonts w:ascii="Verdana" w:hAnsi="Verdana" w:cs="Arial"/>
          <w:color w:val="333333"/>
          <w:sz w:val="20"/>
        </w:rPr>
        <w:t>Located in Nashville TN</w:t>
      </w:r>
    </w:p>
    <w:p w:rsidR="002D4FBA" w:rsidRPr="00B34641" w:rsidRDefault="002D4FBA" w:rsidP="002D4FBA">
      <w:pPr>
        <w:rPr>
          <w:rFonts w:ascii="Verdana" w:hAnsi="Verdana" w:cs="Arial"/>
          <w:color w:val="333333"/>
          <w:sz w:val="20"/>
        </w:rPr>
      </w:pPr>
      <w:r>
        <w:rPr>
          <w:rFonts w:ascii="Verdana" w:hAnsi="Verdana" w:cs="Arial"/>
          <w:color w:val="333333"/>
          <w:sz w:val="20"/>
        </w:rPr>
        <w:t xml:space="preserve">Contact Craig Pettit, </w:t>
      </w:r>
      <w:hyperlink r:id="rId7" w:history="1">
        <w:r w:rsidR="00F139DD" w:rsidRPr="00E8541C">
          <w:rPr>
            <w:rStyle w:val="Hyperlink"/>
            <w:rFonts w:ascii="Verdana" w:hAnsi="Verdana" w:cs="Arial"/>
            <w:sz w:val="20"/>
          </w:rPr>
          <w:t>pettitcraig@bfusa.com</w:t>
        </w:r>
      </w:hyperlink>
      <w:r>
        <w:rPr>
          <w:rFonts w:ascii="Verdana" w:hAnsi="Verdana" w:cs="Arial"/>
          <w:color w:val="333333"/>
          <w:sz w:val="20"/>
        </w:rPr>
        <w:t xml:space="preserve"> </w:t>
      </w:r>
    </w:p>
    <w:sectPr w:rsidR="002D4FBA" w:rsidRPr="00B34641" w:rsidSect="003817B9">
      <w:headerReference w:type="default" r:id="rId8"/>
      <w:footerReference w:type="default" r:id="rId9"/>
      <w:pgSz w:w="12240" w:h="15840" w:code="1"/>
      <w:pgMar w:top="45" w:right="720" w:bottom="360" w:left="720" w:header="36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10D" w:rsidRDefault="0088710D">
      <w:r>
        <w:separator/>
      </w:r>
    </w:p>
  </w:endnote>
  <w:endnote w:type="continuationSeparator" w:id="0">
    <w:p w:rsidR="0088710D" w:rsidRDefault="0088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00C" w:rsidRDefault="00F6100C">
    <w:pPr>
      <w:pStyle w:val="Foote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10D" w:rsidRDefault="0088710D">
      <w:r>
        <w:separator/>
      </w:r>
    </w:p>
  </w:footnote>
  <w:footnote w:type="continuationSeparator" w:id="0">
    <w:p w:rsidR="0088710D" w:rsidRDefault="0088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641" w:rsidRDefault="00B34641" w:rsidP="00B34641">
    <w:pPr>
      <w:pStyle w:val="Header"/>
      <w:jc w:val="right"/>
    </w:pPr>
    <w:r>
      <w:rPr>
        <w:noProof/>
        <w:lang w:eastAsia="ja-JP"/>
      </w:rPr>
      <w:drawing>
        <wp:inline distT="0" distB="0" distL="0" distR="0">
          <wp:extent cx="1440180" cy="541020"/>
          <wp:effectExtent l="19050" t="0" r="7620" b="0"/>
          <wp:docPr id="19" name="Picture 19"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15CA"/>
    <w:multiLevelType w:val="hybridMultilevel"/>
    <w:tmpl w:val="4BDCA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C7A04"/>
    <w:multiLevelType w:val="hybridMultilevel"/>
    <w:tmpl w:val="63123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90930"/>
    <w:multiLevelType w:val="hybridMultilevel"/>
    <w:tmpl w:val="3D788DAA"/>
    <w:lvl w:ilvl="0" w:tplc="94D2D7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8F54F7"/>
    <w:multiLevelType w:val="hybridMultilevel"/>
    <w:tmpl w:val="A2AABB7C"/>
    <w:lvl w:ilvl="0" w:tplc="93C6850A">
      <w:start w:val="1"/>
      <w:numFmt w:val="bullet"/>
      <w:lvlText w:val="*"/>
      <w:lvlJc w:val="left"/>
      <w:pPr>
        <w:tabs>
          <w:tab w:val="num" w:pos="720"/>
        </w:tabs>
        <w:ind w:left="648" w:hanging="288"/>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5E7E11"/>
    <w:multiLevelType w:val="hybridMultilevel"/>
    <w:tmpl w:val="ACFE23F6"/>
    <w:lvl w:ilvl="0" w:tplc="4918735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BB"/>
    <w:rsid w:val="000049D8"/>
    <w:rsid w:val="00013CA5"/>
    <w:rsid w:val="00041C57"/>
    <w:rsid w:val="001451C7"/>
    <w:rsid w:val="001F5EC5"/>
    <w:rsid w:val="002436C0"/>
    <w:rsid w:val="002D4FBA"/>
    <w:rsid w:val="002E721D"/>
    <w:rsid w:val="0036658F"/>
    <w:rsid w:val="003817B9"/>
    <w:rsid w:val="00396834"/>
    <w:rsid w:val="003F6208"/>
    <w:rsid w:val="00476AF4"/>
    <w:rsid w:val="004827D2"/>
    <w:rsid w:val="0051338B"/>
    <w:rsid w:val="005418E3"/>
    <w:rsid w:val="0058006E"/>
    <w:rsid w:val="00651E97"/>
    <w:rsid w:val="00670BCA"/>
    <w:rsid w:val="006A1989"/>
    <w:rsid w:val="007106BB"/>
    <w:rsid w:val="00793132"/>
    <w:rsid w:val="0088710D"/>
    <w:rsid w:val="008F2BFE"/>
    <w:rsid w:val="009324AB"/>
    <w:rsid w:val="009B3EE2"/>
    <w:rsid w:val="009D69E5"/>
    <w:rsid w:val="00A039CB"/>
    <w:rsid w:val="00A33435"/>
    <w:rsid w:val="00AC4D9B"/>
    <w:rsid w:val="00AE0ACC"/>
    <w:rsid w:val="00B34641"/>
    <w:rsid w:val="00BC682C"/>
    <w:rsid w:val="00C16A53"/>
    <w:rsid w:val="00C16B5D"/>
    <w:rsid w:val="00C43581"/>
    <w:rsid w:val="00C43827"/>
    <w:rsid w:val="00C6782F"/>
    <w:rsid w:val="00C83148"/>
    <w:rsid w:val="00CD5C5E"/>
    <w:rsid w:val="00D01F43"/>
    <w:rsid w:val="00D42C08"/>
    <w:rsid w:val="00D673BA"/>
    <w:rsid w:val="00D908AD"/>
    <w:rsid w:val="00DB598A"/>
    <w:rsid w:val="00DE4E49"/>
    <w:rsid w:val="00E16319"/>
    <w:rsid w:val="00E34B42"/>
    <w:rsid w:val="00E40A04"/>
    <w:rsid w:val="00E55B3A"/>
    <w:rsid w:val="00E81C67"/>
    <w:rsid w:val="00F139DD"/>
    <w:rsid w:val="00F6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3"/>
    </o:shapedefaults>
    <o:shapelayout v:ext="edit">
      <o:idmap v:ext="edit" data="1"/>
    </o:shapelayout>
  </w:shapeDefaults>
  <w:decimalSymbol w:val="."/>
  <w:listSeparator w:val=","/>
  <w14:docId w14:val="5336286A"/>
  <w15:docId w15:val="{3A3C2A2D-0D08-4AEE-910E-9265733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spacing w:before="240"/>
      <w:jc w:val="center"/>
      <w:outlineLvl w:val="0"/>
    </w:pPr>
    <w:rPr>
      <w:rFonts w:ascii="Univers" w:hAnsi="Univers"/>
      <w:b/>
      <w:sz w:val="28"/>
    </w:rPr>
  </w:style>
  <w:style w:type="paragraph" w:styleId="Heading2">
    <w:name w:val="heading 2"/>
    <w:basedOn w:val="Normal"/>
    <w:next w:val="Normal"/>
    <w:qFormat/>
    <w:pPr>
      <w:spacing w:before="120"/>
      <w:outlineLvl w:val="1"/>
    </w:pPr>
    <w:rPr>
      <w:rFonts w:ascii="Univers" w:hAnsi="Univers"/>
      <w:b/>
    </w:rPr>
  </w:style>
  <w:style w:type="paragraph" w:styleId="Heading3">
    <w:name w:val="heading 3"/>
    <w:basedOn w:val="Normal"/>
    <w:next w:val="NormalIndent"/>
    <w:qFormat/>
    <w:pPr>
      <w:ind w:left="360"/>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sz w:val="16"/>
    </w:rPr>
  </w:style>
  <w:style w:type="paragraph" w:styleId="Header">
    <w:name w:val="header"/>
    <w:basedOn w:val="Normal"/>
    <w:pPr>
      <w:tabs>
        <w:tab w:val="center" w:pos="4320"/>
        <w:tab w:val="right" w:pos="8640"/>
      </w:tabs>
    </w:pPr>
  </w:style>
  <w:style w:type="paragraph" w:styleId="NormalIndent">
    <w:name w:val="Normal Indent"/>
    <w:basedOn w:val="Normal"/>
    <w:next w:val="Normal"/>
    <w:pPr>
      <w:ind w:left="720"/>
    </w:pPr>
  </w:style>
  <w:style w:type="paragraph" w:customStyle="1" w:styleId="IndentFirstLine">
    <w:name w:val="Indent FirstLine"/>
    <w:basedOn w:val="Normal"/>
    <w:pPr>
      <w:ind w:firstLine="720"/>
    </w:pPr>
  </w:style>
  <w:style w:type="paragraph" w:customStyle="1" w:styleId="IndentHanging">
    <w:name w:val="Indent Hanging"/>
    <w:basedOn w:val="Normal"/>
    <w:pPr>
      <w:ind w:left="720" w:hanging="720"/>
    </w:pPr>
  </w:style>
  <w:style w:type="paragraph" w:customStyle="1" w:styleId="IndentNumBlt">
    <w:name w:val="Indent Num/Blt"/>
    <w:basedOn w:val="Normal"/>
    <w:pPr>
      <w:tabs>
        <w:tab w:val="right" w:pos="540"/>
      </w:tabs>
      <w:ind w:left="720" w:hanging="720"/>
    </w:pPr>
  </w:style>
  <w:style w:type="paragraph" w:customStyle="1" w:styleId="ParaLRIndent">
    <w:name w:val="Para L/R Indent"/>
    <w:basedOn w:val="Normal"/>
    <w:next w:val="Normal"/>
    <w:pPr>
      <w:ind w:left="1080" w:right="1080"/>
    </w:pPr>
  </w:style>
  <w:style w:type="paragraph" w:customStyle="1" w:styleId="ParaLRIndentBox">
    <w:name w:val="ParaL/RIndentBox"/>
    <w:basedOn w:val="ParaLRIndent"/>
    <w:next w:val="Normal"/>
    <w:pPr>
      <w:pBdr>
        <w:top w:val="single" w:sz="6" w:space="1" w:color="auto"/>
        <w:left w:val="single" w:sz="6" w:space="1" w:color="auto"/>
        <w:bottom w:val="single" w:sz="6" w:space="1" w:color="auto"/>
        <w:right w:val="single" w:sz="6" w:space="1" w:color="auto"/>
      </w:pBdr>
    </w:pPr>
  </w:style>
  <w:style w:type="paragraph" w:styleId="BodyText">
    <w:name w:val="Body Text"/>
    <w:basedOn w:val="Normal"/>
    <w:pPr>
      <w:spacing w:before="60"/>
    </w:pPr>
    <w:rPr>
      <w:rFonts w:ascii="Verdana" w:hAnsi="Verdana"/>
      <w:sz w:val="16"/>
    </w:rPr>
  </w:style>
  <w:style w:type="paragraph" w:styleId="BalloonText">
    <w:name w:val="Balloon Text"/>
    <w:basedOn w:val="Normal"/>
    <w:semiHidden/>
    <w:rsid w:val="00A33435"/>
    <w:rPr>
      <w:rFonts w:ascii="Tahoma" w:hAnsi="Tahoma" w:cs="Tahoma"/>
      <w:sz w:val="16"/>
      <w:szCs w:val="16"/>
    </w:rPr>
  </w:style>
  <w:style w:type="character" w:styleId="Hyperlink">
    <w:name w:val="Hyperlink"/>
    <w:basedOn w:val="DefaultParagraphFont"/>
    <w:unhideWhenUsed/>
    <w:rsid w:val="002D4FBA"/>
    <w:rPr>
      <w:color w:val="0000FF" w:themeColor="hyperlink"/>
      <w:u w:val="single"/>
    </w:rPr>
  </w:style>
  <w:style w:type="paragraph" w:styleId="ListParagraph">
    <w:name w:val="List Paragraph"/>
    <w:basedOn w:val="Normal"/>
    <w:uiPriority w:val="34"/>
    <w:qFormat/>
    <w:rsid w:val="00381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43563">
      <w:bodyDiv w:val="1"/>
      <w:marLeft w:val="0"/>
      <w:marRight w:val="0"/>
      <w:marTop w:val="0"/>
      <w:marBottom w:val="0"/>
      <w:divBdr>
        <w:top w:val="none" w:sz="0" w:space="0" w:color="auto"/>
        <w:left w:val="none" w:sz="0" w:space="0" w:color="auto"/>
        <w:bottom w:val="none" w:sz="0" w:space="0" w:color="auto"/>
        <w:right w:val="none" w:sz="0" w:space="0" w:color="auto"/>
      </w:divBdr>
    </w:div>
    <w:div w:id="1222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Letters%20&amp;%20Faxes\Online%20Letterhead%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Letterhead (Wordmark)</Template>
  <TotalTime>1</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Nissan North America</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Nissan User</dc:creator>
  <cp:lastModifiedBy>Pettit, Craig</cp:lastModifiedBy>
  <cp:revision>2</cp:revision>
  <cp:lastPrinted>2007-04-26T15:22:00Z</cp:lastPrinted>
  <dcterms:created xsi:type="dcterms:W3CDTF">2019-01-07T19:54:00Z</dcterms:created>
  <dcterms:modified xsi:type="dcterms:W3CDTF">2019-01-07T19:54:00Z</dcterms:modified>
</cp:coreProperties>
</file>