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BE738A">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BE738A">
      <w:pPr>
        <w:rPr>
          <w:b/>
          <w:sz w:val="44"/>
          <w:szCs w:val="44"/>
        </w:rPr>
      </w:pPr>
    </w:p>
    <w:p w:rsidR="00416446" w:rsidRPr="00416446" w:rsidRDefault="00BE738A"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BE738A">
            <w:r>
              <w:t>DynCorp International LLC</w:t>
            </w:r>
          </w:p>
        </w:tc>
      </w:tr>
      <w:tr w:rsidR="00997798">
        <w:tc>
          <w:tcPr>
            <w:tcW w:w="2448" w:type="dxa"/>
          </w:tcPr>
          <w:p w:rsidR="00997798" w:rsidRDefault="00997798">
            <w:r>
              <w:t>Job Title</w:t>
            </w:r>
          </w:p>
        </w:tc>
        <w:tc>
          <w:tcPr>
            <w:tcW w:w="6408" w:type="dxa"/>
          </w:tcPr>
          <w:p w:rsidR="00997798" w:rsidRDefault="00BE738A">
            <w:r>
              <w:t>Trade Compliance Analyst II</w:t>
            </w:r>
          </w:p>
        </w:tc>
      </w:tr>
      <w:tr w:rsidR="00997798">
        <w:tc>
          <w:tcPr>
            <w:tcW w:w="2448" w:type="dxa"/>
          </w:tcPr>
          <w:p w:rsidR="00997798" w:rsidRDefault="00997798">
            <w:r>
              <w:t>Location</w:t>
            </w:r>
          </w:p>
        </w:tc>
        <w:tc>
          <w:tcPr>
            <w:tcW w:w="6408" w:type="dxa"/>
          </w:tcPr>
          <w:p w:rsidR="00997798" w:rsidRDefault="00BE738A">
            <w:r>
              <w:t>Fort Worth, TX (Alliance Airport area)</w:t>
            </w:r>
          </w:p>
        </w:tc>
      </w:tr>
      <w:tr w:rsidR="00997798">
        <w:tc>
          <w:tcPr>
            <w:tcW w:w="2448" w:type="dxa"/>
          </w:tcPr>
          <w:p w:rsidR="00997798" w:rsidRDefault="00997798">
            <w:r>
              <w:t>Salary Range</w:t>
            </w:r>
          </w:p>
        </w:tc>
        <w:tc>
          <w:tcPr>
            <w:tcW w:w="6408" w:type="dxa"/>
          </w:tcPr>
          <w:p w:rsidR="00997798" w:rsidRDefault="00BE738A">
            <w:r>
              <w:t>Open</w:t>
            </w:r>
          </w:p>
        </w:tc>
      </w:tr>
      <w:tr w:rsidR="00997798">
        <w:tc>
          <w:tcPr>
            <w:tcW w:w="2448" w:type="dxa"/>
          </w:tcPr>
          <w:p w:rsidR="00997798" w:rsidRDefault="00997798">
            <w:r>
              <w:t>Relocation Assistance</w:t>
            </w:r>
          </w:p>
        </w:tc>
        <w:tc>
          <w:tcPr>
            <w:tcW w:w="6408" w:type="dxa"/>
          </w:tcPr>
          <w:p w:rsidR="00997798" w:rsidRDefault="00997798"/>
        </w:tc>
      </w:tr>
    </w:tbl>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997798" w:rsidRPr="00BE738A" w:rsidRDefault="00BE738A" w:rsidP="00BE738A">
      <w:pPr>
        <w:jc w:val="both"/>
        <w:rPr>
          <w:szCs w:val="32"/>
        </w:rPr>
      </w:pPr>
      <w:r w:rsidRPr="00BE738A">
        <w:rPr>
          <w:szCs w:val="32"/>
        </w:rPr>
        <w:t xml:space="preserve">DynCorp International LLC (“DI”) has an exciting opportunity open for a Trade Compliance Analyst II in Fort Worth, TX. This position is focused on classification and commodity jurisdiction determination, and performing admissibility and compliance reviews on import shipments into the U.S. </w:t>
      </w:r>
    </w:p>
    <w:p w:rsidR="00BE738A" w:rsidRDefault="00BE738A">
      <w:pPr>
        <w:rPr>
          <w:sz w:val="32"/>
          <w:szCs w:val="32"/>
        </w:rPr>
      </w:pPr>
    </w:p>
    <w:p w:rsidR="00BE738A" w:rsidRDefault="00BE738A" w:rsidP="00BE738A">
      <w:pPr>
        <w:shd w:val="clear" w:color="auto" w:fill="006699"/>
        <w:rPr>
          <w:b/>
          <w:color w:val="FFFFFF"/>
          <w:sz w:val="22"/>
          <w:szCs w:val="22"/>
        </w:rPr>
      </w:pPr>
      <w:r>
        <w:rPr>
          <w:b/>
          <w:color w:val="FFFFFF"/>
          <w:sz w:val="22"/>
          <w:szCs w:val="22"/>
        </w:rPr>
        <w:t>Job Summary</w:t>
      </w:r>
    </w:p>
    <w:p w:rsidR="00BE738A" w:rsidRDefault="00BE738A">
      <w:pPr>
        <w:rPr>
          <w:sz w:val="32"/>
          <w:szCs w:val="32"/>
        </w:rPr>
      </w:pPr>
    </w:p>
    <w:p w:rsidR="00BE738A" w:rsidRDefault="00BE738A" w:rsidP="00BE738A">
      <w:pPr>
        <w:jc w:val="both"/>
        <w:rPr>
          <w:sz w:val="22"/>
          <w:szCs w:val="22"/>
        </w:rPr>
      </w:pPr>
      <w:r>
        <w:rPr>
          <w:bCs/>
          <w:sz w:val="22"/>
          <w:szCs w:val="22"/>
        </w:rPr>
        <w:t xml:space="preserve">The primary role of the Trade Compliance Analyst is to serve as a member of the Corporate Trade Compliance department, providing support to all departments involved in international business to support a robust Trade Compliance program. </w:t>
      </w:r>
      <w:r>
        <w:rPr>
          <w:sz w:val="22"/>
          <w:szCs w:val="22"/>
        </w:rPr>
        <w:t>Generally works under limited supervision and makes decisions that may impact company risk.</w:t>
      </w:r>
    </w:p>
    <w:p w:rsidR="00BE738A" w:rsidRDefault="00BE738A" w:rsidP="00BE738A">
      <w:pPr>
        <w:jc w:val="both"/>
        <w:rPr>
          <w:bCs/>
          <w:sz w:val="22"/>
          <w:szCs w:val="22"/>
        </w:rPr>
      </w:pPr>
    </w:p>
    <w:p w:rsidR="00BE738A" w:rsidRDefault="00BE738A" w:rsidP="00BE738A">
      <w:pPr>
        <w:jc w:val="both"/>
        <w:rPr>
          <w:bCs/>
          <w:sz w:val="22"/>
          <w:szCs w:val="22"/>
        </w:rPr>
      </w:pPr>
      <w:r>
        <w:rPr>
          <w:bCs/>
          <w:sz w:val="22"/>
          <w:szCs w:val="22"/>
        </w:rPr>
        <w:t xml:space="preserve">This may include performing Commodity Jurisdiction reviews, Classification, and licensing requirement determination on items purchased and/or shipped internationally by DI in support of our programs; processing export and import license applications through the State Department (DDTC), the Commerce Department (BIS), the Office of Foreign Assets Control (OFAC), and the Bureau of Alcohol, Tobacco, Firearms and Explosives (BATF); interaction with US and Foreign Customs, Census. Providing training and education on trade compliance issues to departments throughout DI and supporting the department and programs on maintaining a robust Trade Compliance program.  </w:t>
      </w:r>
    </w:p>
    <w:p w:rsidR="00BE738A" w:rsidRDefault="00BE738A" w:rsidP="00BE738A">
      <w:pPr>
        <w:jc w:val="both"/>
        <w:rPr>
          <w:bCs/>
          <w:sz w:val="22"/>
          <w:szCs w:val="22"/>
        </w:rPr>
      </w:pPr>
    </w:p>
    <w:p w:rsidR="00BE738A" w:rsidRDefault="00BE738A" w:rsidP="00BE738A">
      <w:pPr>
        <w:jc w:val="both"/>
        <w:rPr>
          <w:bCs/>
          <w:sz w:val="22"/>
          <w:szCs w:val="22"/>
        </w:rPr>
      </w:pPr>
    </w:p>
    <w:p w:rsidR="00BE738A" w:rsidRDefault="00BE738A" w:rsidP="00BE738A">
      <w:pPr>
        <w:jc w:val="both"/>
        <w:rPr>
          <w:bCs/>
          <w:sz w:val="22"/>
          <w:szCs w:val="22"/>
        </w:rPr>
      </w:pPr>
    </w:p>
    <w:p w:rsidR="00BE738A" w:rsidRDefault="00BE738A" w:rsidP="00BE738A">
      <w:pPr>
        <w:jc w:val="both"/>
        <w:rPr>
          <w:bCs/>
          <w:sz w:val="22"/>
          <w:szCs w:val="22"/>
        </w:rPr>
      </w:pPr>
    </w:p>
    <w:p w:rsidR="00BE738A" w:rsidRDefault="00BE738A" w:rsidP="00BE738A">
      <w:pPr>
        <w:jc w:val="both"/>
        <w:rPr>
          <w:bCs/>
          <w:sz w:val="22"/>
          <w:szCs w:val="22"/>
        </w:rPr>
      </w:pPr>
    </w:p>
    <w:p w:rsidR="00BE738A" w:rsidRDefault="00BE738A" w:rsidP="00BE738A">
      <w:pPr>
        <w:jc w:val="both"/>
        <w:rPr>
          <w:bCs/>
          <w:sz w:val="22"/>
          <w:szCs w:val="22"/>
        </w:rPr>
      </w:pPr>
    </w:p>
    <w:p w:rsidR="00BE738A" w:rsidRDefault="00BE738A" w:rsidP="00BE738A">
      <w:pPr>
        <w:jc w:val="both"/>
        <w:rPr>
          <w:bCs/>
          <w:sz w:val="22"/>
          <w:szCs w:val="22"/>
        </w:rPr>
      </w:pPr>
    </w:p>
    <w:p w:rsidR="00BE738A" w:rsidRDefault="00BE738A" w:rsidP="00BE738A">
      <w:pPr>
        <w:jc w:val="both"/>
        <w:rPr>
          <w:bCs/>
          <w:sz w:val="22"/>
          <w:szCs w:val="22"/>
        </w:rPr>
      </w:pPr>
    </w:p>
    <w:p w:rsidR="00BE738A" w:rsidRDefault="00BE738A" w:rsidP="00BE738A">
      <w:pPr>
        <w:shd w:val="clear" w:color="auto" w:fill="006699"/>
        <w:rPr>
          <w:b/>
          <w:color w:val="FFFFFF"/>
          <w:sz w:val="22"/>
          <w:szCs w:val="22"/>
        </w:rPr>
      </w:pPr>
      <w:r>
        <w:rPr>
          <w:b/>
          <w:color w:val="FFFFFF"/>
          <w:sz w:val="22"/>
          <w:szCs w:val="22"/>
        </w:rPr>
        <w:lastRenderedPageBreak/>
        <w:t>Principle Accountabilities</w:t>
      </w:r>
    </w:p>
    <w:p w:rsidR="00BE738A" w:rsidRDefault="00BE738A">
      <w:pPr>
        <w:rPr>
          <w:sz w:val="32"/>
          <w:szCs w:val="32"/>
        </w:rPr>
      </w:pPr>
    </w:p>
    <w:p w:rsidR="00BE738A" w:rsidRDefault="00BE738A" w:rsidP="00BE738A">
      <w:pPr>
        <w:pStyle w:val="Heading5"/>
        <w:spacing w:before="120"/>
        <w:ind w:left="0"/>
        <w:jc w:val="both"/>
        <w:rPr>
          <w:rFonts w:ascii="Times New Roman" w:hAnsi="Times New Roman"/>
          <w:i/>
          <w:sz w:val="22"/>
          <w:szCs w:val="22"/>
          <w:u w:val="single"/>
        </w:rPr>
      </w:pPr>
      <w:r>
        <w:rPr>
          <w:rFonts w:ascii="Times New Roman" w:hAnsi="Times New Roman"/>
          <w:i/>
          <w:sz w:val="22"/>
          <w:szCs w:val="22"/>
          <w:u w:val="single"/>
        </w:rPr>
        <w:t>JOB DUTIES &amp; RESPONSIBILITIES</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Interprets Trade Regulations and provides guidance to all business units on their application.  This includes (among others):</w:t>
      </w:r>
    </w:p>
    <w:p w:rsidR="00BE738A" w:rsidRDefault="00BE738A" w:rsidP="00BE738A">
      <w:pPr>
        <w:pStyle w:val="ListParagraph"/>
        <w:numPr>
          <w:ilvl w:val="1"/>
          <w:numId w:val="1"/>
        </w:numPr>
        <w:jc w:val="both"/>
        <w:rPr>
          <w:rFonts w:ascii="Times New Roman" w:hAnsi="Times New Roman"/>
        </w:rPr>
      </w:pPr>
      <w:r>
        <w:rPr>
          <w:rFonts w:ascii="Times New Roman" w:hAnsi="Times New Roman"/>
        </w:rPr>
        <w:t>The International Traffic in Arms Regulations (ITAR)</w:t>
      </w:r>
    </w:p>
    <w:p w:rsidR="00BE738A" w:rsidRDefault="00BE738A" w:rsidP="00BE738A">
      <w:pPr>
        <w:pStyle w:val="ListParagraph"/>
        <w:numPr>
          <w:ilvl w:val="1"/>
          <w:numId w:val="1"/>
        </w:numPr>
        <w:jc w:val="both"/>
        <w:rPr>
          <w:rFonts w:ascii="Times New Roman" w:hAnsi="Times New Roman"/>
        </w:rPr>
      </w:pPr>
      <w:r>
        <w:rPr>
          <w:rFonts w:ascii="Times New Roman" w:hAnsi="Times New Roman"/>
        </w:rPr>
        <w:t>The Export Administration Regulations (EAR)</w:t>
      </w:r>
    </w:p>
    <w:p w:rsidR="00BE738A" w:rsidRDefault="00BE738A" w:rsidP="00BE738A">
      <w:pPr>
        <w:pStyle w:val="ListParagraph"/>
        <w:numPr>
          <w:ilvl w:val="1"/>
          <w:numId w:val="1"/>
        </w:numPr>
        <w:jc w:val="both"/>
        <w:rPr>
          <w:rFonts w:ascii="Times New Roman" w:hAnsi="Times New Roman"/>
        </w:rPr>
      </w:pPr>
      <w:r>
        <w:rPr>
          <w:rFonts w:ascii="Times New Roman" w:hAnsi="Times New Roman"/>
        </w:rPr>
        <w:t>The Office of Foreign Assets Control Regulations (OFAC)</w:t>
      </w:r>
    </w:p>
    <w:p w:rsidR="00BE738A" w:rsidRDefault="00BE738A" w:rsidP="00BE738A">
      <w:pPr>
        <w:pStyle w:val="ListParagraph"/>
        <w:numPr>
          <w:ilvl w:val="1"/>
          <w:numId w:val="1"/>
        </w:numPr>
        <w:jc w:val="both"/>
        <w:rPr>
          <w:rFonts w:ascii="Times New Roman" w:hAnsi="Times New Roman"/>
        </w:rPr>
      </w:pPr>
      <w:r>
        <w:rPr>
          <w:rFonts w:ascii="Times New Roman" w:hAnsi="Times New Roman"/>
        </w:rPr>
        <w:t>The Bureau of Alcohol, Tobacco, Firearms, and Explosives Regulations (BATF)</w:t>
      </w:r>
    </w:p>
    <w:p w:rsidR="00BE738A" w:rsidRDefault="00BE738A" w:rsidP="00BE738A">
      <w:pPr>
        <w:pStyle w:val="ListParagraph"/>
        <w:numPr>
          <w:ilvl w:val="1"/>
          <w:numId w:val="1"/>
        </w:numPr>
        <w:jc w:val="both"/>
        <w:rPr>
          <w:rFonts w:ascii="Times New Roman" w:hAnsi="Times New Roman"/>
        </w:rPr>
      </w:pPr>
      <w:r>
        <w:rPr>
          <w:rFonts w:ascii="Times New Roman" w:hAnsi="Times New Roman"/>
        </w:rPr>
        <w:t>The Foreign Trade Regulations (FTR)</w:t>
      </w:r>
    </w:p>
    <w:p w:rsidR="00BE738A" w:rsidRDefault="00BE738A" w:rsidP="00BE738A">
      <w:pPr>
        <w:pStyle w:val="ListParagraph"/>
        <w:numPr>
          <w:ilvl w:val="1"/>
          <w:numId w:val="1"/>
        </w:numPr>
        <w:jc w:val="both"/>
        <w:rPr>
          <w:rFonts w:ascii="Times New Roman" w:hAnsi="Times New Roman"/>
        </w:rPr>
      </w:pPr>
      <w:r>
        <w:rPr>
          <w:rFonts w:ascii="Times New Roman" w:hAnsi="Times New Roman"/>
        </w:rPr>
        <w:t xml:space="preserve">Customs Duties Regulations (Customs) </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Performs Commodity Jurisdiction Review of items purchased and/or shipped internationally by DI in support of our programs.  This involves interpreting regulations and making jurisdiction decisions, and determining the proper U.S. Munitions List (USML) Category or Export Control Classification Number (ECCN).</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Classifies items purchased and/or shipped internationally by determining the correct Harmonized Tariff Schedule number.</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 xml:space="preserve">Determines Licensing Requirements (Export and Import) and works with DDTC, BATF, BIS or OFAC to secure proper license authorizations. </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 xml:space="preserve">Reviews export transactions and makes decisions related to the proper application and use of Export or Import License exceptions or exemptions, and reports usage as required to the proper export agencies. </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Works with business development to review new business opportunities, determining when a defense service may be provided. Prepares and submits for approval Technical Assistance Agreements-Amendments and/or Warehousing and Distribution Agreements to the Department of State.</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 xml:space="preserve">Administers the Export and Import Control Database and Tracking System for management of Licenses, Agreements, Provisos, Correspondence and Training. </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Performs due diligence reviews with program management of new employees, suppliers, visitors, subcontractors, freight forwarders and other entities involved in the supply chain process.</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Performs program inspections and audits to evaluate program performance against Trade Compliance requirements.  This includes inspections and audits of program management office, overseas sites, subcontractors (including freight forwarders) and others.</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Serves as the main point of contact to various departments and subsidiaries within DI to ensure that reasonable care standards are exercised in the export and import process of products.</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Maintains all FedEx, DHL and UPS user activity by ensuring that proper information is loaded into the specified systems and manages the use of project abbreviation codes</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Acts as a liaison between DI shippers and DI approved freight forwarders and couriers in the event of delayed shipments, improper documentation or lack of information.</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Sustains concise communication with DI Program Managers and prospective shippers as well as DI’s external relationships to include freight forwarders and couriers.</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lastRenderedPageBreak/>
        <w:t>Develops and administers Trade Compliance related training programs throughout the organization.</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 xml:space="preserve">Assist with the development and deployment of consistent trade compliance training and automated systems globally </w:t>
      </w:r>
    </w:p>
    <w:p w:rsidR="00BE738A" w:rsidRDefault="00BE738A" w:rsidP="00BE738A">
      <w:pPr>
        <w:pStyle w:val="ListParagraph"/>
        <w:numPr>
          <w:ilvl w:val="0"/>
          <w:numId w:val="1"/>
        </w:numPr>
        <w:jc w:val="both"/>
        <w:rPr>
          <w:rFonts w:ascii="Times New Roman" w:hAnsi="Times New Roman"/>
        </w:rPr>
      </w:pPr>
      <w:r>
        <w:rPr>
          <w:rFonts w:ascii="Times New Roman" w:hAnsi="Times New Roman"/>
        </w:rPr>
        <w:t>Performs other duties as assigned.</w:t>
      </w:r>
    </w:p>
    <w:p w:rsidR="00BE738A" w:rsidRDefault="00BE738A" w:rsidP="00BE738A">
      <w:pPr>
        <w:shd w:val="clear" w:color="auto" w:fill="006699"/>
        <w:rPr>
          <w:b/>
          <w:color w:val="FFFFFF"/>
          <w:sz w:val="22"/>
          <w:szCs w:val="22"/>
        </w:rPr>
      </w:pPr>
      <w:r>
        <w:rPr>
          <w:b/>
          <w:color w:val="FFFFFF"/>
          <w:sz w:val="22"/>
          <w:szCs w:val="22"/>
        </w:rPr>
        <w:t xml:space="preserve">Knowledge &amp; Skills </w:t>
      </w:r>
    </w:p>
    <w:p w:rsidR="00BE738A" w:rsidRDefault="00BE738A" w:rsidP="00BE738A">
      <w:pPr>
        <w:ind w:left="360"/>
        <w:jc w:val="both"/>
        <w:rPr>
          <w:sz w:val="22"/>
          <w:szCs w:val="22"/>
        </w:rPr>
      </w:pPr>
    </w:p>
    <w:p w:rsidR="00BE738A" w:rsidRDefault="00BE738A" w:rsidP="00BE738A">
      <w:pPr>
        <w:widowControl w:val="0"/>
        <w:numPr>
          <w:ilvl w:val="0"/>
          <w:numId w:val="2"/>
        </w:numPr>
        <w:jc w:val="both"/>
        <w:rPr>
          <w:sz w:val="22"/>
          <w:szCs w:val="22"/>
        </w:rPr>
      </w:pPr>
      <w:r>
        <w:rPr>
          <w:sz w:val="22"/>
          <w:szCs w:val="22"/>
        </w:rPr>
        <w:t>General Trade Compliance Regulation knowledge, including the International Traffic in Arms Regulations (ITAR); Export Administration Regulations (EAR); Bureau of Alcohol, Tobacco, Firearms, and Explosives Regulations (BATF); Office of Foreign Assets Control Regulations (OFAC); Foreign Trade Regulations (FTR); and the Customs Duties Regulations (Customs).</w:t>
      </w:r>
    </w:p>
    <w:p w:rsidR="00BE738A" w:rsidRDefault="00BE738A" w:rsidP="00BE738A">
      <w:pPr>
        <w:widowControl w:val="0"/>
        <w:numPr>
          <w:ilvl w:val="0"/>
          <w:numId w:val="2"/>
        </w:numPr>
        <w:jc w:val="both"/>
        <w:rPr>
          <w:sz w:val="22"/>
          <w:szCs w:val="22"/>
        </w:rPr>
      </w:pPr>
      <w:r>
        <w:rPr>
          <w:sz w:val="22"/>
          <w:szCs w:val="22"/>
        </w:rPr>
        <w:t>Working knowledge of Supply Chain processes and procedures.</w:t>
      </w:r>
    </w:p>
    <w:p w:rsidR="00BE738A" w:rsidRDefault="00BE738A" w:rsidP="00BE738A">
      <w:pPr>
        <w:widowControl w:val="0"/>
        <w:numPr>
          <w:ilvl w:val="0"/>
          <w:numId w:val="2"/>
        </w:numPr>
        <w:jc w:val="both"/>
        <w:rPr>
          <w:sz w:val="22"/>
          <w:szCs w:val="22"/>
        </w:rPr>
      </w:pPr>
      <w:r>
        <w:rPr>
          <w:sz w:val="22"/>
          <w:szCs w:val="22"/>
        </w:rPr>
        <w:t>Working knowledge of FedEx Ship Manager Shipping Administration system and DHL Corporate Ship and Import Express systems</w:t>
      </w:r>
    </w:p>
    <w:p w:rsidR="00BE738A" w:rsidRDefault="00BE738A" w:rsidP="00BE738A">
      <w:pPr>
        <w:widowControl w:val="0"/>
        <w:numPr>
          <w:ilvl w:val="0"/>
          <w:numId w:val="2"/>
        </w:numPr>
        <w:jc w:val="both"/>
        <w:rPr>
          <w:sz w:val="22"/>
          <w:szCs w:val="22"/>
        </w:rPr>
      </w:pPr>
      <w:r>
        <w:rPr>
          <w:sz w:val="22"/>
          <w:szCs w:val="22"/>
        </w:rPr>
        <w:t>Import experience with emphasis on Foreign Import/Export Customs regulations and HTS/ECCN product classification</w:t>
      </w:r>
    </w:p>
    <w:p w:rsidR="00BE738A" w:rsidRDefault="00BE738A" w:rsidP="00BE738A">
      <w:pPr>
        <w:widowControl w:val="0"/>
        <w:numPr>
          <w:ilvl w:val="0"/>
          <w:numId w:val="2"/>
        </w:numPr>
        <w:jc w:val="both"/>
        <w:rPr>
          <w:sz w:val="22"/>
          <w:szCs w:val="22"/>
        </w:rPr>
      </w:pPr>
      <w:r>
        <w:rPr>
          <w:sz w:val="22"/>
          <w:szCs w:val="22"/>
        </w:rPr>
        <w:t>Direct experience in Department of State Export Licensing preparation, submission and execution</w:t>
      </w:r>
    </w:p>
    <w:p w:rsidR="00BE738A" w:rsidRDefault="00BE738A" w:rsidP="00BE738A">
      <w:pPr>
        <w:widowControl w:val="0"/>
        <w:numPr>
          <w:ilvl w:val="0"/>
          <w:numId w:val="2"/>
        </w:numPr>
        <w:jc w:val="both"/>
        <w:rPr>
          <w:sz w:val="22"/>
          <w:szCs w:val="22"/>
        </w:rPr>
      </w:pPr>
      <w:r>
        <w:rPr>
          <w:sz w:val="22"/>
          <w:szCs w:val="22"/>
        </w:rPr>
        <w:t>Working knowledge of Customs and Border Protection (CBP).</w:t>
      </w:r>
    </w:p>
    <w:p w:rsidR="00BE738A" w:rsidRDefault="00BE738A" w:rsidP="00BE738A">
      <w:pPr>
        <w:widowControl w:val="0"/>
        <w:numPr>
          <w:ilvl w:val="0"/>
          <w:numId w:val="2"/>
        </w:numPr>
        <w:jc w:val="both"/>
        <w:rPr>
          <w:sz w:val="22"/>
          <w:szCs w:val="22"/>
        </w:rPr>
      </w:pPr>
      <w:r>
        <w:rPr>
          <w:sz w:val="22"/>
          <w:szCs w:val="22"/>
        </w:rPr>
        <w:t>High level computer skills – Microsoft packages, internet, email, etc.</w:t>
      </w:r>
    </w:p>
    <w:p w:rsidR="00BE738A" w:rsidRDefault="00BE738A" w:rsidP="00BE738A">
      <w:pPr>
        <w:widowControl w:val="0"/>
        <w:numPr>
          <w:ilvl w:val="0"/>
          <w:numId w:val="2"/>
        </w:numPr>
        <w:jc w:val="both"/>
        <w:rPr>
          <w:sz w:val="22"/>
          <w:szCs w:val="22"/>
        </w:rPr>
      </w:pPr>
      <w:r>
        <w:rPr>
          <w:sz w:val="22"/>
          <w:szCs w:val="22"/>
        </w:rPr>
        <w:t>Results driven with the ability to be proactive as well as reactive to handling unexpected setbacks, obstacles and time constraints.</w:t>
      </w:r>
    </w:p>
    <w:p w:rsidR="00BE738A" w:rsidRDefault="00BE738A" w:rsidP="00BE738A">
      <w:pPr>
        <w:widowControl w:val="0"/>
        <w:numPr>
          <w:ilvl w:val="0"/>
          <w:numId w:val="2"/>
        </w:numPr>
        <w:jc w:val="both"/>
        <w:rPr>
          <w:sz w:val="22"/>
          <w:szCs w:val="22"/>
        </w:rPr>
      </w:pPr>
      <w:r>
        <w:rPr>
          <w:sz w:val="22"/>
          <w:szCs w:val="22"/>
        </w:rPr>
        <w:t>Ability to participate in meetings and represent Trade Compliance.</w:t>
      </w:r>
    </w:p>
    <w:p w:rsidR="00BE738A" w:rsidRDefault="00BE738A" w:rsidP="00BE738A">
      <w:pPr>
        <w:ind w:left="360"/>
        <w:jc w:val="both"/>
        <w:rPr>
          <w:sz w:val="22"/>
          <w:szCs w:val="22"/>
        </w:rPr>
      </w:pPr>
    </w:p>
    <w:p w:rsidR="00BE738A" w:rsidRDefault="00BE738A" w:rsidP="00BE738A">
      <w:pPr>
        <w:shd w:val="clear" w:color="auto" w:fill="006699"/>
        <w:rPr>
          <w:b/>
          <w:color w:val="FFFFFF"/>
          <w:sz w:val="22"/>
          <w:szCs w:val="22"/>
        </w:rPr>
      </w:pPr>
      <w:r>
        <w:rPr>
          <w:b/>
          <w:color w:val="FFFFFF"/>
          <w:sz w:val="22"/>
          <w:szCs w:val="22"/>
        </w:rPr>
        <w:t>Experience &amp; Education</w:t>
      </w:r>
    </w:p>
    <w:p w:rsidR="00BE738A" w:rsidRDefault="00BE738A" w:rsidP="00BE738A">
      <w:pPr>
        <w:jc w:val="both"/>
        <w:rPr>
          <w:sz w:val="22"/>
          <w:szCs w:val="22"/>
        </w:rPr>
      </w:pPr>
    </w:p>
    <w:p w:rsidR="00BE738A" w:rsidRDefault="00BE738A" w:rsidP="00BE738A">
      <w:pPr>
        <w:widowControl w:val="0"/>
        <w:numPr>
          <w:ilvl w:val="0"/>
          <w:numId w:val="2"/>
        </w:numPr>
        <w:jc w:val="both"/>
        <w:rPr>
          <w:sz w:val="22"/>
          <w:szCs w:val="22"/>
        </w:rPr>
      </w:pPr>
      <w:r>
        <w:rPr>
          <w:sz w:val="22"/>
          <w:szCs w:val="22"/>
        </w:rPr>
        <w:t>3-5 Years of Experience in import/export, U.S. Government Contracting, and logistics.\</w:t>
      </w:r>
    </w:p>
    <w:p w:rsidR="00BE738A" w:rsidRDefault="00BE738A" w:rsidP="00BE738A">
      <w:pPr>
        <w:widowControl w:val="0"/>
        <w:numPr>
          <w:ilvl w:val="0"/>
          <w:numId w:val="2"/>
        </w:numPr>
        <w:jc w:val="both"/>
        <w:rPr>
          <w:sz w:val="22"/>
          <w:szCs w:val="22"/>
        </w:rPr>
      </w:pPr>
      <w:r>
        <w:rPr>
          <w:sz w:val="22"/>
          <w:szCs w:val="22"/>
        </w:rPr>
        <w:t>HS Diploma required. Two Year degree in International Trade or International Business preferred. Two years experience can be substituted for each college year.</w:t>
      </w:r>
    </w:p>
    <w:p w:rsidR="00BE738A" w:rsidRDefault="00BE738A" w:rsidP="00BE738A">
      <w:pPr>
        <w:widowControl w:val="0"/>
        <w:numPr>
          <w:ilvl w:val="0"/>
          <w:numId w:val="2"/>
        </w:numPr>
        <w:jc w:val="both"/>
        <w:rPr>
          <w:sz w:val="22"/>
          <w:szCs w:val="22"/>
        </w:rPr>
      </w:pPr>
      <w:r>
        <w:rPr>
          <w:sz w:val="22"/>
          <w:szCs w:val="22"/>
        </w:rPr>
        <w:t>Certified U.S. Export Compliance Officer required.  Certified Export Specialist and/or Certified Import Specialist preferred. Licensed U.S. Customs Broker Preferred.</w:t>
      </w:r>
    </w:p>
    <w:p w:rsidR="00BE738A" w:rsidRDefault="00BE738A" w:rsidP="00BE738A">
      <w:pPr>
        <w:widowControl w:val="0"/>
        <w:numPr>
          <w:ilvl w:val="0"/>
          <w:numId w:val="2"/>
        </w:numPr>
        <w:jc w:val="both"/>
        <w:rPr>
          <w:sz w:val="22"/>
          <w:szCs w:val="22"/>
        </w:rPr>
      </w:pPr>
      <w:r>
        <w:rPr>
          <w:sz w:val="22"/>
          <w:szCs w:val="22"/>
        </w:rPr>
        <w:t>Experience in preparation of Export/Import Power of Attorney (POA)</w:t>
      </w:r>
    </w:p>
    <w:p w:rsidR="00BE738A" w:rsidRDefault="00BE738A" w:rsidP="00BE738A">
      <w:pPr>
        <w:jc w:val="both"/>
        <w:rPr>
          <w:sz w:val="22"/>
          <w:szCs w:val="22"/>
        </w:rPr>
      </w:pPr>
    </w:p>
    <w:p w:rsidR="00BE738A" w:rsidRDefault="00BE738A" w:rsidP="00BE738A">
      <w:pPr>
        <w:shd w:val="clear" w:color="auto" w:fill="006699"/>
        <w:rPr>
          <w:b/>
          <w:color w:val="FFFFFF"/>
          <w:sz w:val="22"/>
          <w:szCs w:val="22"/>
        </w:rPr>
      </w:pPr>
      <w:r>
        <w:rPr>
          <w:b/>
          <w:color w:val="FFFFFF"/>
          <w:sz w:val="22"/>
          <w:szCs w:val="22"/>
        </w:rPr>
        <w:t>Physical Requirements/Working Environment</w:t>
      </w:r>
    </w:p>
    <w:p w:rsidR="00BE738A" w:rsidRDefault="00BE738A" w:rsidP="00BE738A">
      <w:pPr>
        <w:jc w:val="both"/>
        <w:rPr>
          <w:sz w:val="22"/>
          <w:szCs w:val="22"/>
        </w:rPr>
      </w:pPr>
      <w:r>
        <w:rPr>
          <w:color w:val="000000"/>
          <w:sz w:val="22"/>
          <w:szCs w:val="22"/>
        </w:rPr>
        <w:t>Normal office environment.</w:t>
      </w:r>
      <w:r>
        <w:rPr>
          <w:sz w:val="22"/>
          <w:szCs w:val="22"/>
        </w:rPr>
        <w:t xml:space="preserve"> Generally performs work during normal business hours, but may be required to work afterhours or from home.</w:t>
      </w:r>
    </w:p>
    <w:p w:rsidR="00BE738A" w:rsidRDefault="00BE738A" w:rsidP="00BE738A">
      <w:pPr>
        <w:rPr>
          <w:color w:val="000000"/>
          <w:sz w:val="22"/>
          <w:szCs w:val="22"/>
        </w:rPr>
      </w:pPr>
    </w:p>
    <w:p w:rsidR="00BE738A" w:rsidRDefault="00BE738A" w:rsidP="00BE738A">
      <w:pPr>
        <w:shd w:val="clear" w:color="auto" w:fill="006699"/>
        <w:rPr>
          <w:b/>
          <w:color w:val="FFFFFF"/>
          <w:sz w:val="22"/>
          <w:szCs w:val="22"/>
        </w:rPr>
      </w:pPr>
      <w:r>
        <w:rPr>
          <w:b/>
          <w:color w:val="FFFFFF"/>
          <w:sz w:val="22"/>
          <w:szCs w:val="22"/>
        </w:rPr>
        <w:t xml:space="preserve">Travel </w:t>
      </w:r>
    </w:p>
    <w:p w:rsidR="00BE738A" w:rsidRDefault="00BE738A" w:rsidP="00BE738A">
      <w:pPr>
        <w:jc w:val="both"/>
        <w:rPr>
          <w:sz w:val="22"/>
          <w:szCs w:val="22"/>
        </w:rPr>
      </w:pPr>
      <w:r>
        <w:t>May be required to travel domestically, and limited internationally.</w:t>
      </w:r>
    </w:p>
    <w:p w:rsidR="00BE738A" w:rsidRPr="00BE738A" w:rsidRDefault="00BE738A">
      <w:pPr>
        <w:rPr>
          <w:sz w:val="32"/>
          <w:szCs w:val="32"/>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bookmarkStart w:id="0" w:name="_GoBack"/>
      <w:bookmarkEnd w:id="0"/>
      <w:r>
        <w:rPr>
          <w:b/>
          <w:sz w:val="32"/>
          <w:szCs w:val="32"/>
          <w:u w:val="single"/>
        </w:rPr>
        <w:lastRenderedPageBreak/>
        <w:t>Contact Information to Apply</w:t>
      </w:r>
    </w:p>
    <w:p w:rsidR="00997798" w:rsidRDefault="00997798">
      <w:pPr>
        <w:rPr>
          <w:b/>
          <w:sz w:val="32"/>
          <w:szCs w:val="32"/>
          <w:u w:val="single"/>
        </w:rPr>
      </w:pPr>
    </w:p>
    <w:p w:rsidR="00997798" w:rsidRDefault="00BE738A">
      <w:pPr>
        <w:rPr>
          <w:sz w:val="32"/>
          <w:szCs w:val="32"/>
        </w:rPr>
      </w:pPr>
      <w:r>
        <w:rPr>
          <w:sz w:val="32"/>
          <w:szCs w:val="32"/>
        </w:rPr>
        <w:t xml:space="preserve">If interested, please send your resume to </w:t>
      </w:r>
      <w:hyperlink r:id="rId6" w:history="1">
        <w:r w:rsidRPr="00283613">
          <w:rPr>
            <w:rStyle w:val="Hyperlink"/>
            <w:sz w:val="32"/>
            <w:szCs w:val="32"/>
          </w:rPr>
          <w:t>joseph.veiga@dyn-intl.com</w:t>
        </w:r>
      </w:hyperlink>
      <w:r>
        <w:rPr>
          <w:sz w:val="32"/>
          <w:szCs w:val="32"/>
        </w:rPr>
        <w:t xml:space="preserve">. </w:t>
      </w:r>
    </w:p>
    <w:p w:rsidR="00BE738A" w:rsidRDefault="00BE738A">
      <w:pPr>
        <w:rPr>
          <w:sz w:val="32"/>
          <w:szCs w:val="32"/>
        </w:rPr>
      </w:pPr>
    </w:p>
    <w:p w:rsidR="00BE738A" w:rsidRPr="00BE738A" w:rsidRDefault="00BE738A">
      <w:pPr>
        <w:rPr>
          <w:sz w:val="32"/>
          <w:szCs w:val="32"/>
        </w:rPr>
      </w:pPr>
    </w:p>
    <w:sectPr w:rsidR="00BE738A" w:rsidRPr="00BE738A"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9CA"/>
    <w:multiLevelType w:val="hybridMultilevel"/>
    <w:tmpl w:val="987E7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865132"/>
    <w:multiLevelType w:val="hybridMultilevel"/>
    <w:tmpl w:val="4CAAA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997798"/>
    <w:rsid w:val="00BE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0FF04D"/>
  <w15:chartTrackingRefBased/>
  <w15:docId w15:val="{677E9577-BA29-4A09-AB48-16A0D356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uiPriority w:val="99"/>
    <w:semiHidden/>
    <w:unhideWhenUsed/>
    <w:qFormat/>
    <w:rsid w:val="00BE738A"/>
    <w:pPr>
      <w:keepNext/>
      <w:widowControl w:val="0"/>
      <w:ind w:left="420"/>
      <w:outlineLvl w:val="4"/>
    </w:pPr>
    <w:rPr>
      <w:rFonts w:ascii="Arial" w:hAnsi="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5Char">
    <w:name w:val="Heading 5 Char"/>
    <w:basedOn w:val="DefaultParagraphFont"/>
    <w:link w:val="Heading5"/>
    <w:uiPriority w:val="99"/>
    <w:semiHidden/>
    <w:rsid w:val="00BE738A"/>
    <w:rPr>
      <w:rFonts w:ascii="Arial" w:hAnsi="Arial"/>
      <w:b/>
      <w:bCs/>
    </w:rPr>
  </w:style>
  <w:style w:type="paragraph" w:styleId="ListParagraph">
    <w:name w:val="List Paragraph"/>
    <w:basedOn w:val="Normal"/>
    <w:uiPriority w:val="99"/>
    <w:qFormat/>
    <w:rsid w:val="00BE738A"/>
    <w:pPr>
      <w:spacing w:after="200" w:line="276" w:lineRule="auto"/>
      <w:ind w:left="720"/>
      <w:contextualSpacing/>
    </w:pPr>
    <w:rPr>
      <w:rFonts w:ascii="Calibri" w:hAnsi="Calibri"/>
      <w:sz w:val="22"/>
      <w:szCs w:val="22"/>
    </w:rPr>
  </w:style>
  <w:style w:type="character" w:styleId="Hyperlink">
    <w:name w:val="Hyperlink"/>
    <w:basedOn w:val="DefaultParagraphFont"/>
    <w:rsid w:val="00BE738A"/>
    <w:rPr>
      <w:color w:val="0563C1" w:themeColor="hyperlink"/>
      <w:u w:val="single"/>
    </w:rPr>
  </w:style>
  <w:style w:type="character" w:styleId="Mention">
    <w:name w:val="Mention"/>
    <w:basedOn w:val="DefaultParagraphFont"/>
    <w:uiPriority w:val="99"/>
    <w:semiHidden/>
    <w:unhideWhenUsed/>
    <w:rsid w:val="00BE738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512">
      <w:bodyDiv w:val="1"/>
      <w:marLeft w:val="0"/>
      <w:marRight w:val="0"/>
      <w:marTop w:val="0"/>
      <w:marBottom w:val="0"/>
      <w:divBdr>
        <w:top w:val="none" w:sz="0" w:space="0" w:color="auto"/>
        <w:left w:val="none" w:sz="0" w:space="0" w:color="auto"/>
        <w:bottom w:val="none" w:sz="0" w:space="0" w:color="auto"/>
        <w:right w:val="none" w:sz="0" w:space="0" w:color="auto"/>
      </w:divBdr>
    </w:div>
    <w:div w:id="581259870">
      <w:bodyDiv w:val="1"/>
      <w:marLeft w:val="0"/>
      <w:marRight w:val="0"/>
      <w:marTop w:val="0"/>
      <w:marBottom w:val="0"/>
      <w:divBdr>
        <w:top w:val="none" w:sz="0" w:space="0" w:color="auto"/>
        <w:left w:val="none" w:sz="0" w:space="0" w:color="auto"/>
        <w:bottom w:val="none" w:sz="0" w:space="0" w:color="auto"/>
        <w:right w:val="none" w:sz="0" w:space="0" w:color="auto"/>
      </w:divBdr>
    </w:div>
    <w:div w:id="1043405467">
      <w:bodyDiv w:val="1"/>
      <w:marLeft w:val="0"/>
      <w:marRight w:val="0"/>
      <w:marTop w:val="0"/>
      <w:marBottom w:val="0"/>
      <w:divBdr>
        <w:top w:val="none" w:sz="0" w:space="0" w:color="auto"/>
        <w:left w:val="none" w:sz="0" w:space="0" w:color="auto"/>
        <w:bottom w:val="none" w:sz="0" w:space="0" w:color="auto"/>
        <w:right w:val="none" w:sz="0" w:space="0" w:color="auto"/>
      </w:divBdr>
    </w:div>
    <w:div w:id="1529610931">
      <w:bodyDiv w:val="1"/>
      <w:marLeft w:val="0"/>
      <w:marRight w:val="0"/>
      <w:marTop w:val="0"/>
      <w:marBottom w:val="0"/>
      <w:divBdr>
        <w:top w:val="none" w:sz="0" w:space="0" w:color="auto"/>
        <w:left w:val="none" w:sz="0" w:space="0" w:color="auto"/>
        <w:bottom w:val="none" w:sz="0" w:space="0" w:color="auto"/>
        <w:right w:val="none" w:sz="0" w:space="0" w:color="auto"/>
      </w:divBdr>
    </w:div>
    <w:div w:id="17738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veiga@dyn-int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0</TotalTime>
  <Pages>4</Pages>
  <Words>987</Words>
  <Characters>5629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6603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Veiga, Joseph</cp:lastModifiedBy>
  <cp:revision>2</cp:revision>
  <dcterms:created xsi:type="dcterms:W3CDTF">2018-11-19T18:01:00Z</dcterms:created>
  <dcterms:modified xsi:type="dcterms:W3CDTF">2018-11-19T18:01:00Z</dcterms:modified>
</cp:coreProperties>
</file>