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8FF" w:rsidRPr="00BD68FF" w:rsidRDefault="00BD68FF">
      <w:pPr>
        <w:rPr>
          <w:rFonts w:ascii="Helvetica" w:hAnsi="Helvetica" w:cs="Helvetica"/>
          <w:b/>
          <w:color w:val="000000"/>
          <w:sz w:val="20"/>
          <w:szCs w:val="20"/>
          <w:u w:val="single"/>
          <w:shd w:val="clear" w:color="auto" w:fill="FFFFFF"/>
        </w:rPr>
      </w:pPr>
      <w:r w:rsidRPr="00BD68FF">
        <w:rPr>
          <w:rFonts w:ascii="Helvetica" w:hAnsi="Helvetica" w:cs="Helvetica"/>
          <w:b/>
          <w:color w:val="000000"/>
          <w:sz w:val="20"/>
          <w:szCs w:val="20"/>
          <w:u w:val="single"/>
          <w:shd w:val="clear" w:color="auto" w:fill="FFFFFF"/>
        </w:rPr>
        <w:t xml:space="preserve">Export Compliance </w:t>
      </w:r>
      <w:r w:rsidR="0072487F">
        <w:rPr>
          <w:rFonts w:ascii="Helvetica" w:hAnsi="Helvetica" w:cs="Helvetica"/>
          <w:b/>
          <w:color w:val="000000"/>
          <w:sz w:val="20"/>
          <w:szCs w:val="20"/>
          <w:u w:val="single"/>
          <w:shd w:val="clear" w:color="auto" w:fill="FFFFFF"/>
        </w:rPr>
        <w:t xml:space="preserve">&amp; Supply Chain Resilience </w:t>
      </w:r>
      <w:r w:rsidRPr="00BD68FF">
        <w:rPr>
          <w:rFonts w:ascii="Helvetica" w:hAnsi="Helvetica" w:cs="Helvetica"/>
          <w:b/>
          <w:color w:val="000000"/>
          <w:sz w:val="20"/>
          <w:szCs w:val="20"/>
          <w:u w:val="single"/>
          <w:shd w:val="clear" w:color="auto" w:fill="FFFFFF"/>
        </w:rPr>
        <w:t>Program Manager</w:t>
      </w:r>
    </w:p>
    <w:p w:rsidR="0072487F" w:rsidRDefault="00BB1D9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This </w:t>
      </w:r>
      <w:r w:rsid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dynamic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position will be responsible to support the company’s export compliance program </w:t>
      </w:r>
      <w:r w:rsid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and its suppl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y chain risk management program reporting directly to the Executive Director of International Logistics and Trade Compliance.</w:t>
      </w:r>
    </w:p>
    <w:p w:rsidR="0072487F" w:rsidRDefault="0072487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Support of the Export Compliance Program - </w:t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as it relates to screening export transactions against general prohibitions of certain end-uses and end-users, applying for dual-use export licenses with the Bureau of Industry and Security,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auditing</w:t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Electronic Export Information (AES) and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provide Global Export Compliance Training</w:t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</w:p>
    <w:p w:rsidR="0072487F" w:rsidRDefault="0072487F" w:rsidP="0072487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Support of the Supply Chain Resilience Program (SCRP) – as it relates to managing international supply chain risks by using technology to determine risks and developing counter measures to harden 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the </w:t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supply chain. This includes the management of the Bridgestone C-TPAT program.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This individual is expected to exercise discretion and judgment in their work and assist the</w:t>
      </w:r>
      <w:r w:rsidR="00810A3B" w:rsidRP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Executive Director of International Logistics and Trade Compliance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with following the Export Compliance </w:t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&amp; SCRP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processes.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Export Compliance </w:t>
      </w:r>
      <w:r w:rsidR="00BB1D9F"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Key Responsibilities: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Export Management </w:t>
      </w:r>
      <w:r w:rsidR="00810A3B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System: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Understand and execute export control processes and work instructions to ensure compliance with BSAM policies and US export regulations.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Export </w:t>
      </w:r>
      <w:r w:rsidR="00810A3B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Screening: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Review and analyze transactions on hold for reasons they are a close match to an entity on the Sanctioned Party List.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Export licensing 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Support the export licensing application process as outlined in the procedures and work instructions: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Identifying transactions that require export licenses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Gathering information needed for the license applications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License application submissions to the Bureau of Industry and Security via SNAP- 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Reviewing and communicating license terms and conditions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- 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Filing of electronic export information for licensed shipments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Electronic Export Information: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Oversee the freight forwarders EEI reporting and </w:t>
      </w:r>
      <w:r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audit AES files for monthly compliance scorecard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 xml:space="preserve">Freight Forwarder </w:t>
      </w:r>
      <w:r w:rsidR="00810A3B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Management: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Work directly with Freight Forwarders and other service providers to effectively provide export instructions and oversight.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Export Classification (ECCN):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 Support the classification of Shelton, Hopkinton and One Source Business. 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b/>
          <w:bCs/>
          <w:color w:val="000000"/>
          <w:sz w:val="20"/>
          <w:szCs w:val="20"/>
          <w:shd w:val="clear" w:color="auto" w:fill="FFFFFF"/>
        </w:rPr>
        <w:t>Recordkeeping: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 Maintain records in accordance with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Bridgestone</w:t>
      </w:r>
      <w:r w:rsidR="00BB1D9F" w:rsidRPr="0072487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Policy and regulations. </w:t>
      </w:r>
    </w:p>
    <w:p w:rsidR="00BB1D9F" w:rsidRDefault="0072487F" w:rsidP="0072487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72487F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Training: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Provide Global Training for all Bridgestone Americas entities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19448C"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SCRP</w:t>
      </w:r>
      <w:r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 Key Responsibilities:</w:t>
      </w:r>
      <w:r w:rsidR="00BB1D9F" w:rsidRPr="0072487F">
        <w:rPr>
          <w:rFonts w:ascii="Helvetica" w:hAnsi="Helvetica" w:cs="Helvetica"/>
          <w:color w:val="000000"/>
          <w:sz w:val="20"/>
          <w:szCs w:val="20"/>
        </w:rPr>
        <w:br/>
      </w:r>
      <w:r w:rsidR="0019448C" w:rsidRPr="0019448C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C-TPAT Program: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partner and manage with Corporate Security to ensure 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Tier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2 status is maintained. </w:t>
      </w:r>
    </w:p>
    <w:p w:rsidR="0019448C" w:rsidRDefault="0019448C" w:rsidP="0072487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19448C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lastRenderedPageBreak/>
        <w:t>C-TPAT Auditing: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partner with 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Corporate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Security and </w:t>
      </w:r>
      <w:r w:rsidR="00810A3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perform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annual targeted audits to ensure robust security plan is in place.</w:t>
      </w:r>
    </w:p>
    <w:p w:rsidR="0019448C" w:rsidRDefault="0019448C" w:rsidP="0072487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19448C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C-TPAT Verifications: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support and manage CBP verifications when required.</w:t>
      </w:r>
    </w:p>
    <w:p w:rsidR="0019448C" w:rsidRDefault="00810A3B" w:rsidP="0019448C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Resilience</w:t>
      </w:r>
      <w:r w:rsidR="0019448C"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Technology: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implement and maintain technology to support risk visibility of supply chain.</w:t>
      </w:r>
    </w:p>
    <w:p w:rsidR="0019448C" w:rsidRDefault="00810A3B" w:rsidP="0019448C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Resilience</w:t>
      </w:r>
      <w:r w:rsidR="0019448C"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Management: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partner with internal and external partners to develop contingency plans in high risk supply chain lanes to ensure business continuity.</w:t>
      </w:r>
    </w:p>
    <w:p w:rsidR="0019448C" w:rsidRDefault="00810A3B" w:rsidP="0019448C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>Resilience</w:t>
      </w:r>
      <w:r w:rsidR="0019448C" w:rsidRPr="00810A3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t xml:space="preserve"> Assessment: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provide quarterly reports on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overall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supply chain risk and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resilience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to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executive</w:t>
      </w:r>
      <w:r w:rsidR="0019448C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management.</w:t>
      </w:r>
    </w:p>
    <w:p w:rsidR="00BB1D9F" w:rsidRDefault="00810A3B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Education/Experience</w:t>
      </w:r>
      <w:r w:rsidR="00BB1D9F"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Experience preferred in same or similar function or supporting role.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Knowledge of Import and Export trade regulations (Certifications or licensing is a plus).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General Knowledge of HTS classifications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Bachelor’s Degree required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 w:rsidRPr="00810A3B">
        <w:rPr>
          <w:rFonts w:ascii="Helvetica" w:hAnsi="Helvetica" w:cs="Helvetica"/>
          <w:color w:val="000000"/>
          <w:sz w:val="20"/>
          <w:szCs w:val="20"/>
          <w:u w:val="single"/>
        </w:rPr>
        <w:br/>
      </w:r>
      <w:r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Other Skills Sets</w:t>
      </w:r>
      <w:r w:rsidR="00BB1D9F" w:rsidRPr="00810A3B">
        <w:rPr>
          <w:rFonts w:ascii="Helvetica" w:hAnsi="Helvetica" w:cs="Helvetica"/>
          <w:b/>
          <w:bCs/>
          <w:color w:val="000000"/>
          <w:sz w:val="20"/>
          <w:szCs w:val="20"/>
          <w:u w:val="single"/>
          <w:shd w:val="clear" w:color="auto" w:fill="FFFFFF"/>
        </w:rPr>
        <w:t>: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Excellent communication (written and verbal)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Good organizational skills and ability to multi-task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Detail oriented and analytical with high degree of accuracy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Ability to work effectively with internal customers in different time zones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Demonstrated experience and familiarity with the Export Administration Regulations (EAR) </w:t>
      </w:r>
      <w:r w:rsidR="00BB1D9F">
        <w:rPr>
          <w:rFonts w:ascii="Helvetica" w:hAnsi="Helvetica" w:cs="Helvetica"/>
          <w:color w:val="000000"/>
          <w:sz w:val="20"/>
          <w:szCs w:val="20"/>
        </w:rPr>
        <w:br/>
      </w:r>
      <w:r w:rsidR="00BB1D9F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Experience using SAP </w:t>
      </w:r>
    </w:p>
    <w:p w:rsidR="00FC18C5" w:rsidRDefault="00BB1D9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Experience using SNAP-R and ACE is a benefit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Excellent troubleshooting and </w:t>
      </w:r>
      <w:proofErr w:type="gram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problem solving</w:t>
      </w:r>
      <w:proofErr w:type="gram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skills 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Ability to work in a team environment</w:t>
      </w:r>
    </w:p>
    <w:p w:rsidR="000D5D2F" w:rsidRPr="00BB1D9F" w:rsidRDefault="000D5D2F">
      <w:pP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Please contact </w:t>
      </w:r>
      <w:hyperlink r:id="rId7" w:history="1">
        <w:r w:rsidRPr="00501489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pettitcraig@bfusa.com</w:t>
        </w:r>
      </w:hyperlink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directly.</w:t>
      </w:r>
      <w:bookmarkStart w:id="0" w:name="_GoBack"/>
      <w:bookmarkEnd w:id="0"/>
    </w:p>
    <w:sectPr w:rsidR="000D5D2F" w:rsidRPr="00BB1D9F" w:rsidSect="00E21D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B47" w:rsidRDefault="00B90B47" w:rsidP="0072487F">
      <w:pPr>
        <w:spacing w:after="0" w:line="240" w:lineRule="auto"/>
      </w:pPr>
      <w:r>
        <w:separator/>
      </w:r>
    </w:p>
  </w:endnote>
  <w:endnote w:type="continuationSeparator" w:id="0">
    <w:p w:rsidR="00B90B47" w:rsidRDefault="00B90B47" w:rsidP="0072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B47" w:rsidRDefault="00B90B47" w:rsidP="0072487F">
      <w:pPr>
        <w:spacing w:after="0" w:line="240" w:lineRule="auto"/>
      </w:pPr>
      <w:r>
        <w:separator/>
      </w:r>
    </w:p>
  </w:footnote>
  <w:footnote w:type="continuationSeparator" w:id="0">
    <w:p w:rsidR="00B90B47" w:rsidRDefault="00B90B47" w:rsidP="00724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A3B" w:rsidRDefault="00810A3B" w:rsidP="00810A3B">
    <w:pPr>
      <w:pStyle w:val="Header"/>
      <w:jc w:val="right"/>
    </w:pPr>
    <w:r>
      <w:rPr>
        <w:noProof/>
      </w:rPr>
      <w:drawing>
        <wp:inline distT="0" distB="0" distL="0" distR="0" wp14:anchorId="453ED44F" wp14:editId="1663A75B">
          <wp:extent cx="1440180" cy="541020"/>
          <wp:effectExtent l="19050" t="0" r="7620" b="0"/>
          <wp:docPr id="1" name="Picture 1" descr="C:\Users\Pettitcraig\Pictures\Bridgeston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titcraig\Pictures\Bridgeston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AAD"/>
    <w:multiLevelType w:val="hybridMultilevel"/>
    <w:tmpl w:val="6750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9F"/>
    <w:rsid w:val="000054A8"/>
    <w:rsid w:val="000356EB"/>
    <w:rsid w:val="000358B2"/>
    <w:rsid w:val="000D5D2F"/>
    <w:rsid w:val="0019448C"/>
    <w:rsid w:val="001C01D0"/>
    <w:rsid w:val="00445DA8"/>
    <w:rsid w:val="00497328"/>
    <w:rsid w:val="00503083"/>
    <w:rsid w:val="00616C78"/>
    <w:rsid w:val="0072487F"/>
    <w:rsid w:val="00810A3B"/>
    <w:rsid w:val="008632A2"/>
    <w:rsid w:val="00B90B47"/>
    <w:rsid w:val="00BB1527"/>
    <w:rsid w:val="00BB1D9F"/>
    <w:rsid w:val="00BD68FF"/>
    <w:rsid w:val="00C64800"/>
    <w:rsid w:val="00C7718F"/>
    <w:rsid w:val="00E21D0B"/>
    <w:rsid w:val="00E63644"/>
    <w:rsid w:val="00F54247"/>
    <w:rsid w:val="00FD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755FC"/>
  <w15:chartTrackingRefBased/>
  <w15:docId w15:val="{5EFF6A5C-C62E-4C28-A057-A2F348F6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87F"/>
  </w:style>
  <w:style w:type="paragraph" w:styleId="Footer">
    <w:name w:val="footer"/>
    <w:basedOn w:val="Normal"/>
    <w:link w:val="FooterChar"/>
    <w:uiPriority w:val="99"/>
    <w:unhideWhenUsed/>
    <w:rsid w:val="00724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87F"/>
  </w:style>
  <w:style w:type="paragraph" w:styleId="ListParagraph">
    <w:name w:val="List Paragraph"/>
    <w:basedOn w:val="Normal"/>
    <w:uiPriority w:val="34"/>
    <w:qFormat/>
    <w:rsid w:val="007248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5D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D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titcraig@bf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Pettit, Craig</dc:creator>
  <cp:keywords/>
  <dc:description/>
  <cp:lastModifiedBy>Pettit, Craig</cp:lastModifiedBy>
  <cp:revision>3</cp:revision>
  <dcterms:created xsi:type="dcterms:W3CDTF">2018-07-17T13:47:00Z</dcterms:created>
  <dcterms:modified xsi:type="dcterms:W3CDTF">2018-07-17T14:01:00Z</dcterms:modified>
</cp:coreProperties>
</file>