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BA" w:rsidRDefault="005E7624" w:rsidP="005E7624">
      <w:pPr>
        <w:jc w:val="center"/>
        <w:rPr>
          <w:rStyle w:val="wgt-textwidget"/>
          <w:rFonts w:ascii="Arial" w:hAnsi="Arial" w:cs="Arial"/>
          <w:color w:val="333333"/>
          <w:sz w:val="32"/>
          <w:szCs w:val="32"/>
        </w:rPr>
      </w:pPr>
      <w:r w:rsidRPr="005E7624">
        <w:rPr>
          <w:rStyle w:val="wgt-textwidget"/>
          <w:rFonts w:ascii="Arial" w:hAnsi="Arial" w:cs="Arial"/>
          <w:color w:val="333333"/>
          <w:sz w:val="32"/>
          <w:szCs w:val="32"/>
        </w:rPr>
        <w:t>Trade Compliance</w:t>
      </w:r>
      <w:r w:rsidRPr="005E7624">
        <w:rPr>
          <w:rStyle w:val="wgt-textwidget"/>
          <w:rFonts w:ascii="Arial" w:hAnsi="Arial" w:cs="Arial"/>
          <w:color w:val="333333"/>
          <w:sz w:val="32"/>
          <w:szCs w:val="32"/>
        </w:rPr>
        <w:t xml:space="preserve"> Specialist</w:t>
      </w:r>
    </w:p>
    <w:tbl>
      <w:tblPr>
        <w:tblW w:w="271" w:type="pct"/>
        <w:tblCellSpacing w:w="0" w:type="dxa"/>
        <w:tblInd w:w="-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"/>
        <w:gridCol w:w="396"/>
      </w:tblGrid>
      <w:tr w:rsidR="005E7624" w:rsidRPr="005E7624" w:rsidTr="005E7624">
        <w:trPr>
          <w:trHeight w:val="173"/>
          <w:tblCellSpacing w:w="0" w:type="dxa"/>
        </w:trPr>
        <w:tc>
          <w:tcPr>
            <w:tcW w:w="1148" w:type="pct"/>
            <w:shd w:val="clear" w:color="auto" w:fill="auto"/>
            <w:tcMar>
              <w:top w:w="90" w:type="dxa"/>
              <w:left w:w="60" w:type="dxa"/>
              <w:bottom w:w="90" w:type="dxa"/>
              <w:right w:w="0" w:type="dxa"/>
            </w:tcMar>
          </w:tcPr>
          <w:p w:rsidR="005E7624" w:rsidRPr="005E7624" w:rsidRDefault="005E7624" w:rsidP="005E76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7624" w:rsidRPr="005E7624" w:rsidRDefault="005E7624" w:rsidP="005E7624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</w:tbl>
    <w:p w:rsidR="005E7624" w:rsidRPr="0067065F" w:rsidRDefault="005E7624" w:rsidP="005E7624">
      <w:pPr>
        <w:rPr>
          <w:rStyle w:val="wgt-textwidget"/>
          <w:rFonts w:ascii="Arial" w:hAnsi="Arial" w:cs="Arial"/>
          <w:color w:val="333333"/>
          <w:sz w:val="24"/>
          <w:szCs w:val="24"/>
        </w:rPr>
      </w:pP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 xml:space="preserve">Responsible for compliance with trade compliance laws and regulations as established by the United States, Canada, and other countries, as applicable, for the StandardAero Components Sector. 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 xml:space="preserve">- Ensures the compliance of import and export of products and technical information and other related trade compliance matters. 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 xml:space="preserve">- Supports the Legal Department and U.S. Trade Compliance function in advocating trade compliance as a business tool through education and continuous improvement. 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  <w:u w:val="single"/>
        </w:rPr>
        <w:t>Specific Accountabilities</w:t>
      </w:r>
      <w:proofErr w:type="gramStart"/>
      <w:r w:rsidRPr="0067065F">
        <w:rPr>
          <w:rStyle w:val="wgt-textwidget"/>
          <w:rFonts w:ascii="Arial" w:hAnsi="Arial" w:cs="Arial"/>
          <w:color w:val="333333"/>
          <w:sz w:val="24"/>
          <w:szCs w:val="24"/>
          <w:u w:val="single"/>
        </w:rPr>
        <w:t>:</w:t>
      </w:r>
      <w:proofErr w:type="gramEnd"/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>- Ensures compliance with trade compliance regulations and requirements for the StandardAero Components Sector.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>- Maintains positive working relationships and actively cooperates with internal and external customers, business partners, and applicable government agencies, to execute trade compliance best practices, procedures, work instructions, and manuals.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 xml:space="preserve">- Implements the policies and procedures contained in the respective Import &amp; Export Compliance Manuals and other internal compliance publications for the Components Sector, across multiple facilities in the U.S., Canada, Romania, and Singapore. 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>- Provides support, regulatory interpretation and guidance in the following areas, to include but not limited to: Product Classification, Export Licensing and Controls, Use and Transfer of Technical Data, Import/Export Documentation, Customs Clearance, Tariff/Schedule B Classification, Sanctions and Denied Party Lists, Broker Management, Incoterms, Foreign Trade Zones, and other trade compliance related topics as requested.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>- Assists the U.S. Trade Compliance function with external and internal audits and risk assessments.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>- Assists/leads investigations in areas of non-compliance and executes on root causes and corrective actions to ensure compliance.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 xml:space="preserve">- Develops and delivers compliance training as required to various groups within the company, to include senior leadership. </w:t>
      </w:r>
      <w:proofErr w:type="gramStart"/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>Initiates efforts to continuously improve the trade compliance knowledge of our internal customers at all levels.</w:t>
      </w:r>
      <w:proofErr w:type="gramEnd"/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 xml:space="preserve"> 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lastRenderedPageBreak/>
        <w:t xml:space="preserve">- Ensures export and import record-keeping and reporting requirements are met. 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>- Acts as a liaison with the respective trade compliance regulatory agencies, as applicable.</w:t>
      </w:r>
    </w:p>
    <w:p w:rsidR="005E7624" w:rsidRPr="0067065F" w:rsidRDefault="005E7624" w:rsidP="005E7624">
      <w:pPr>
        <w:rPr>
          <w:rFonts w:ascii="Arial" w:hAnsi="Arial" w:cs="Arial"/>
          <w:b/>
          <w:bCs/>
          <w:color w:val="666666"/>
          <w:sz w:val="24"/>
          <w:szCs w:val="24"/>
        </w:rPr>
      </w:pPr>
    </w:p>
    <w:p w:rsidR="005E7624" w:rsidRPr="0067065F" w:rsidRDefault="005E7624" w:rsidP="005E7624">
      <w:pPr>
        <w:rPr>
          <w:rFonts w:ascii="Arial" w:hAnsi="Arial" w:cs="Arial"/>
          <w:b/>
          <w:bCs/>
          <w:color w:val="666666"/>
          <w:sz w:val="24"/>
          <w:szCs w:val="24"/>
          <w:u w:val="single"/>
        </w:rPr>
      </w:pPr>
      <w:r w:rsidRPr="0067065F">
        <w:rPr>
          <w:rFonts w:ascii="Arial" w:hAnsi="Arial" w:cs="Arial"/>
          <w:b/>
          <w:bCs/>
          <w:color w:val="666666"/>
          <w:sz w:val="24"/>
          <w:szCs w:val="24"/>
          <w:u w:val="single"/>
        </w:rPr>
        <w:t>Position Requirements</w:t>
      </w:r>
      <w:r w:rsidRPr="0067065F">
        <w:rPr>
          <w:rFonts w:ascii="Arial" w:hAnsi="Arial" w:cs="Arial"/>
          <w:b/>
          <w:bCs/>
          <w:color w:val="666666"/>
          <w:sz w:val="24"/>
          <w:szCs w:val="24"/>
          <w:u w:val="single"/>
        </w:rPr>
        <w:t xml:space="preserve">: </w:t>
      </w:r>
    </w:p>
    <w:p w:rsidR="005E7624" w:rsidRPr="0067065F" w:rsidRDefault="005E7624" w:rsidP="005E7624">
      <w:pPr>
        <w:rPr>
          <w:sz w:val="24"/>
          <w:szCs w:val="24"/>
        </w:rPr>
      </w:pPr>
      <w:proofErr w:type="gramStart"/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>Must be authorized to work in the U.S.</w:t>
      </w:r>
      <w:bookmarkStart w:id="0" w:name="_GoBack"/>
      <w:bookmarkEnd w:id="0"/>
      <w:proofErr w:type="gramEnd"/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>- The typical minimum level of education to perform this job competently is equivalent to completion of a university (bachelor) program in International Business, Accounting, or Business Administration.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>Required Skills/Experience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>- Minimum 5 years of experience in trade compliance and an import/export environment, required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>- Experience in the defense industry and familiarity with the EAR and/or ITAR required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>- Strong oral and written communication skills.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>- Demonstrated ability to read, interpret, analyze, and assimilate regulations and technical documents.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 xml:space="preserve">- Ability to effectively present information and respond to questions from all levels within the organization </w:t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Fonts w:ascii="Arial" w:hAnsi="Arial" w:cs="Arial"/>
          <w:color w:val="333333"/>
          <w:sz w:val="24"/>
          <w:szCs w:val="24"/>
        </w:rPr>
        <w:br/>
      </w:r>
      <w:r w:rsidRPr="0067065F">
        <w:rPr>
          <w:rStyle w:val="wgt-textwidget"/>
          <w:rFonts w:ascii="Arial" w:hAnsi="Arial" w:cs="Arial"/>
          <w:color w:val="333333"/>
          <w:sz w:val="24"/>
          <w:szCs w:val="24"/>
        </w:rPr>
        <w:t>- Ability to multi-task in a fast pace and high-demanding environment.</w:t>
      </w:r>
    </w:p>
    <w:sectPr w:rsidR="005E7624" w:rsidRPr="00670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24"/>
    <w:rsid w:val="005E7624"/>
    <w:rsid w:val="0067065F"/>
    <w:rsid w:val="0096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gt-textwidget">
    <w:name w:val="wgt-textwidget"/>
    <w:basedOn w:val="DefaultParagraphFont"/>
    <w:rsid w:val="005E7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gt-textwidget">
    <w:name w:val="wgt-textwidget"/>
    <w:basedOn w:val="DefaultParagraphFont"/>
    <w:rsid w:val="005E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7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36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5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54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64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089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Standardaero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111379</dc:creator>
  <cp:lastModifiedBy>111379</cp:lastModifiedBy>
  <cp:revision>3</cp:revision>
  <cp:lastPrinted>2018-04-05T19:18:00Z</cp:lastPrinted>
  <dcterms:created xsi:type="dcterms:W3CDTF">2018-04-05T19:12:00Z</dcterms:created>
  <dcterms:modified xsi:type="dcterms:W3CDTF">2018-04-05T19:18:00Z</dcterms:modified>
</cp:coreProperties>
</file>