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180"/>
        <w:gridCol w:w="2340"/>
        <w:gridCol w:w="1800"/>
        <w:gridCol w:w="3420"/>
      </w:tblGrid>
      <w:tr w:rsidR="009B47A2" w:rsidRPr="004209B4" w:rsidTr="004209B4">
        <w:tc>
          <w:tcPr>
            <w:tcW w:w="2455" w:type="dxa"/>
          </w:tcPr>
          <w:p w:rsidR="009B47A2" w:rsidRPr="00EE7152" w:rsidRDefault="009B47A2" w:rsidP="00DB23EA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Requisition #</w:t>
            </w:r>
          </w:p>
        </w:tc>
        <w:tc>
          <w:tcPr>
            <w:tcW w:w="2520" w:type="dxa"/>
            <w:gridSpan w:val="2"/>
          </w:tcPr>
          <w:p w:rsidR="009B47A2" w:rsidRPr="00EE7152" w:rsidRDefault="009B47A2" w:rsidP="00DB23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9B47A2" w:rsidRPr="00EE7152" w:rsidRDefault="009B47A2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Posting Date:</w:t>
            </w:r>
          </w:p>
          <w:p w:rsidR="009B47A2" w:rsidRPr="00EE7152" w:rsidRDefault="009B47A2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Closing Date:</w:t>
            </w:r>
          </w:p>
        </w:tc>
        <w:tc>
          <w:tcPr>
            <w:tcW w:w="3420" w:type="dxa"/>
          </w:tcPr>
          <w:p w:rsidR="00DC5CC9" w:rsidRPr="00EE7152" w:rsidRDefault="00DC5CC9" w:rsidP="00B16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3EA" w:rsidRPr="004209B4" w:rsidTr="004209B4">
        <w:tc>
          <w:tcPr>
            <w:tcW w:w="2455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Role title</w:t>
            </w:r>
          </w:p>
        </w:tc>
        <w:tc>
          <w:tcPr>
            <w:tcW w:w="2520" w:type="dxa"/>
            <w:gridSpan w:val="2"/>
          </w:tcPr>
          <w:p w:rsidR="00DB23EA" w:rsidRPr="00DC5CC9" w:rsidRDefault="00AC6F7A" w:rsidP="00DE3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 Compliance Officer</w:t>
            </w:r>
            <w:r w:rsidR="00DE3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A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EB5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800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E7152">
                  <w:rPr>
                    <w:rFonts w:ascii="Arial" w:hAnsi="Arial" w:cs="Arial"/>
                    <w:sz w:val="20"/>
                    <w:szCs w:val="20"/>
                  </w:rPr>
                  <w:t>Salary</w:t>
                </w:r>
              </w:smartTag>
              <w:r w:rsidRPr="00EE715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E7152">
                  <w:rPr>
                    <w:rFonts w:ascii="Arial" w:hAnsi="Arial" w:cs="Arial"/>
                    <w:sz w:val="20"/>
                    <w:szCs w:val="20"/>
                  </w:rPr>
                  <w:t>Range</w:t>
                </w:r>
              </w:smartTag>
            </w:smartTag>
            <w:r w:rsidRPr="00EE715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:rsidR="00EA727D" w:rsidRPr="00EA727D" w:rsidRDefault="00EA727D" w:rsidP="00CE3EA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B23EA" w:rsidRPr="004209B4" w:rsidTr="004209B4">
        <w:tc>
          <w:tcPr>
            <w:tcW w:w="2455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Reports to role</w:t>
            </w:r>
          </w:p>
        </w:tc>
        <w:tc>
          <w:tcPr>
            <w:tcW w:w="2520" w:type="dxa"/>
            <w:gridSpan w:val="2"/>
          </w:tcPr>
          <w:p w:rsidR="00DB23EA" w:rsidRPr="00EE7152" w:rsidRDefault="00AC6F7A" w:rsidP="00403A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Trade Compliance</w:t>
            </w:r>
            <w:r w:rsidR="00403A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3420" w:type="dxa"/>
          </w:tcPr>
          <w:p w:rsidR="00DF630C" w:rsidRPr="00EE7152" w:rsidRDefault="00AC6F7A" w:rsidP="00B16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and Compliance</w:t>
            </w:r>
          </w:p>
        </w:tc>
      </w:tr>
      <w:tr w:rsidR="00DB23EA" w:rsidRPr="004209B4" w:rsidTr="004209B4">
        <w:tc>
          <w:tcPr>
            <w:tcW w:w="2455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Current incumbent</w:t>
            </w:r>
          </w:p>
        </w:tc>
        <w:tc>
          <w:tcPr>
            <w:tcW w:w="2520" w:type="dxa"/>
            <w:gridSpan w:val="2"/>
          </w:tcPr>
          <w:p w:rsidR="00DB23EA" w:rsidRPr="00EE7152" w:rsidRDefault="005B7F72" w:rsidP="00DB23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Business / Function</w:t>
            </w:r>
          </w:p>
        </w:tc>
        <w:tc>
          <w:tcPr>
            <w:tcW w:w="3420" w:type="dxa"/>
          </w:tcPr>
          <w:p w:rsidR="00DB23EA" w:rsidRPr="00EE7152" w:rsidRDefault="00AC6F7A" w:rsidP="00B16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and Taxes</w:t>
            </w:r>
          </w:p>
        </w:tc>
      </w:tr>
      <w:tr w:rsidR="00DB23EA" w:rsidRPr="004209B4" w:rsidTr="004209B4">
        <w:tc>
          <w:tcPr>
            <w:tcW w:w="2455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2520" w:type="dxa"/>
            <w:gridSpan w:val="2"/>
          </w:tcPr>
          <w:p w:rsidR="00DB23EA" w:rsidRPr="00EE7152" w:rsidRDefault="00C403E6" w:rsidP="00DB23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Greensboro, NC</w:t>
            </w:r>
          </w:p>
        </w:tc>
        <w:tc>
          <w:tcPr>
            <w:tcW w:w="1800" w:type="dxa"/>
          </w:tcPr>
          <w:p w:rsidR="00DB23EA" w:rsidRPr="00EE7152" w:rsidRDefault="00DC5CC9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Relocation</w:t>
            </w:r>
          </w:p>
        </w:tc>
        <w:tc>
          <w:tcPr>
            <w:tcW w:w="3420" w:type="dxa"/>
          </w:tcPr>
          <w:p w:rsidR="00DB23EA" w:rsidRPr="00EE7152" w:rsidRDefault="00DB23EA" w:rsidP="00B16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3EA" w:rsidRPr="004209B4" w:rsidTr="004209B4">
        <w:tc>
          <w:tcPr>
            <w:tcW w:w="2455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Global Reporting level (CEO=1)</w:t>
            </w:r>
          </w:p>
        </w:tc>
        <w:tc>
          <w:tcPr>
            <w:tcW w:w="2520" w:type="dxa"/>
            <w:gridSpan w:val="2"/>
          </w:tcPr>
          <w:p w:rsidR="00DB23EA" w:rsidRPr="00EE7152" w:rsidRDefault="00DB23EA" w:rsidP="00DB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Local work level</w:t>
            </w:r>
          </w:p>
        </w:tc>
        <w:tc>
          <w:tcPr>
            <w:tcW w:w="3420" w:type="dxa"/>
          </w:tcPr>
          <w:p w:rsidR="00DB23EA" w:rsidRPr="00EE7152" w:rsidRDefault="00DB23EA" w:rsidP="00B16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3EA" w:rsidRPr="004209B4" w:rsidTr="00774191">
        <w:trPr>
          <w:trHeight w:val="494"/>
        </w:trPr>
        <w:tc>
          <w:tcPr>
            <w:tcW w:w="2455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Job Code:</w:t>
            </w:r>
          </w:p>
        </w:tc>
        <w:tc>
          <w:tcPr>
            <w:tcW w:w="2520" w:type="dxa"/>
            <w:gridSpan w:val="2"/>
          </w:tcPr>
          <w:p w:rsidR="00DB23EA" w:rsidRPr="00EE7152" w:rsidRDefault="00DB23EA" w:rsidP="00DB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Position #:</w:t>
            </w:r>
          </w:p>
        </w:tc>
        <w:tc>
          <w:tcPr>
            <w:tcW w:w="3420" w:type="dxa"/>
          </w:tcPr>
          <w:p w:rsidR="00DB23EA" w:rsidRPr="00EE7152" w:rsidRDefault="00DB23EA" w:rsidP="00B16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3EA" w:rsidRPr="004209B4" w:rsidTr="004209B4">
        <w:trPr>
          <w:trHeight w:val="485"/>
        </w:trPr>
        <w:tc>
          <w:tcPr>
            <w:tcW w:w="2455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 xml:space="preserve">Payroll Budget </w:t>
            </w:r>
            <w:proofErr w:type="spellStart"/>
            <w:r w:rsidRPr="00EE7152">
              <w:rPr>
                <w:rFonts w:ascii="Arial" w:hAnsi="Arial" w:cs="Arial"/>
                <w:sz w:val="20"/>
                <w:szCs w:val="20"/>
              </w:rPr>
              <w:t>Ctr</w:t>
            </w:r>
            <w:proofErr w:type="spellEnd"/>
            <w:r w:rsidRPr="00EE71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 xml:space="preserve">Operational Budget </w:t>
            </w:r>
            <w:proofErr w:type="spellStart"/>
            <w:r w:rsidRPr="00EE7152">
              <w:rPr>
                <w:rFonts w:ascii="Arial" w:hAnsi="Arial" w:cs="Arial"/>
                <w:sz w:val="20"/>
                <w:szCs w:val="20"/>
              </w:rPr>
              <w:t>Ctr</w:t>
            </w:r>
            <w:proofErr w:type="spellEnd"/>
            <w:r w:rsidRPr="00EE715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2"/>
          </w:tcPr>
          <w:p w:rsidR="00DB23EA" w:rsidRPr="00EE7152" w:rsidRDefault="00DB23EA" w:rsidP="0077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B1610E" w:rsidRPr="00EE7152" w:rsidRDefault="00B1610E" w:rsidP="00B1610E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3EA" w:rsidRPr="00EE7152" w:rsidRDefault="00DB23EA" w:rsidP="00B1610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FLSA</w:t>
            </w:r>
            <w:r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8477DB" w:rsidRPr="00EE7152">
              <w:rPr>
                <w:rFonts w:ascii="Arial" w:hAnsi="Arial" w:cs="Arial"/>
                <w:color w:val="0000FF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9.75pt;height:14.25pt" o:ole="">
                  <v:imagedata r:id="rId7" o:title=""/>
                </v:shape>
                <w:control r:id="rId8" w:name="CheckBox81111111" w:shapeid="_x0000_i1035"/>
              </w:object>
            </w:r>
            <w:r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7152">
              <w:rPr>
                <w:rFonts w:ascii="Arial" w:hAnsi="Arial" w:cs="Arial"/>
                <w:sz w:val="20"/>
                <w:szCs w:val="20"/>
              </w:rPr>
              <w:t xml:space="preserve">Exempt </w:t>
            </w:r>
            <w:r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8477DB" w:rsidRPr="00EE7152">
              <w:rPr>
                <w:rFonts w:ascii="Arial" w:hAnsi="Arial" w:cs="Arial"/>
                <w:color w:val="0000FF"/>
                <w:sz w:val="20"/>
                <w:szCs w:val="20"/>
              </w:rPr>
              <w:object w:dxaOrig="225" w:dyaOrig="225">
                <v:shape id="_x0000_i1037" type="#_x0000_t75" style="width:9.75pt;height:14.25pt" o:ole="">
                  <v:imagedata r:id="rId9" o:title=""/>
                </v:shape>
                <w:control r:id="rId10" w:name="CheckBox811111111" w:shapeid="_x0000_i1037"/>
              </w:object>
            </w:r>
            <w:r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7152">
              <w:rPr>
                <w:rFonts w:ascii="Arial" w:hAnsi="Arial" w:cs="Arial"/>
                <w:sz w:val="20"/>
                <w:szCs w:val="20"/>
              </w:rPr>
              <w:t>Non-Exempt</w:t>
            </w:r>
            <w:r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 </w:t>
            </w:r>
            <w:r w:rsidR="008477DB" w:rsidRPr="00EE7152">
              <w:rPr>
                <w:rFonts w:ascii="Arial" w:hAnsi="Arial" w:cs="Arial"/>
                <w:color w:val="0000FF"/>
                <w:sz w:val="20"/>
                <w:szCs w:val="20"/>
              </w:rPr>
              <w:object w:dxaOrig="225" w:dyaOrig="225">
                <v:shape id="_x0000_i1039" type="#_x0000_t75" style="width:9.75pt;height:14.25pt" o:ole="">
                  <v:imagedata r:id="rId9" o:title=""/>
                </v:shape>
                <w:control r:id="rId11" w:name="CheckBox811111112" w:shapeid="_x0000_i1039"/>
              </w:object>
            </w:r>
            <w:r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7152">
              <w:rPr>
                <w:rFonts w:ascii="Arial" w:hAnsi="Arial" w:cs="Arial"/>
                <w:sz w:val="20"/>
                <w:szCs w:val="20"/>
              </w:rPr>
              <w:t>Hourly</w:t>
            </w:r>
          </w:p>
        </w:tc>
      </w:tr>
      <w:tr w:rsidR="00DB23EA" w:rsidRPr="004209B4" w:rsidTr="004209B4">
        <w:trPr>
          <w:trHeight w:val="557"/>
        </w:trPr>
        <w:tc>
          <w:tcPr>
            <w:tcW w:w="2455" w:type="dxa"/>
          </w:tcPr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Interview Contact:</w:t>
            </w:r>
          </w:p>
          <w:p w:rsidR="00DB23EA" w:rsidRPr="00EE7152" w:rsidRDefault="00DB23EA" w:rsidP="004209B4">
            <w:pPr>
              <w:tabs>
                <w:tab w:val="left" w:pos="2265"/>
              </w:tabs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Name &amp; Phone</w:t>
            </w:r>
          </w:p>
        </w:tc>
        <w:tc>
          <w:tcPr>
            <w:tcW w:w="2520" w:type="dxa"/>
            <w:gridSpan w:val="2"/>
          </w:tcPr>
          <w:p w:rsidR="00DF630C" w:rsidRDefault="00AC6F7A" w:rsidP="00DB23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Jeanna Frye</w:t>
            </w:r>
          </w:p>
          <w:p w:rsidR="00742C03" w:rsidRPr="00EE7152" w:rsidRDefault="00742C03" w:rsidP="00AC6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336-632-</w:t>
            </w:r>
            <w:r w:rsidR="00AC6F7A">
              <w:rPr>
                <w:rFonts w:ascii="Arial" w:hAnsi="Arial" w:cs="Arial"/>
                <w:sz w:val="20"/>
                <w:szCs w:val="20"/>
              </w:rPr>
              <w:t>2504</w:t>
            </w:r>
          </w:p>
        </w:tc>
        <w:tc>
          <w:tcPr>
            <w:tcW w:w="5220" w:type="dxa"/>
            <w:gridSpan w:val="2"/>
          </w:tcPr>
          <w:p w:rsidR="00B1610E" w:rsidRPr="00EE7152" w:rsidRDefault="00B1610E" w:rsidP="00B1610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B47A2" w:rsidRPr="00EE7152" w:rsidRDefault="008477DB" w:rsidP="008E79A2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color w:val="0000FF"/>
                <w:sz w:val="20"/>
                <w:szCs w:val="20"/>
              </w:rPr>
              <w:object w:dxaOrig="225" w:dyaOrig="225">
                <v:shape id="_x0000_i1046" type="#_x0000_t75" style="width:9.75pt;height:14.25pt" o:ole="">
                  <v:imagedata r:id="rId9" o:title=""/>
                </v:shape>
                <w:control r:id="rId12" w:name="CheckBox811111114" w:shapeid="_x0000_i1046"/>
              </w:object>
            </w:r>
            <w:r w:rsidR="00DB23EA"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DB23EA" w:rsidRPr="00EE7152">
              <w:rPr>
                <w:rFonts w:ascii="Arial" w:hAnsi="Arial" w:cs="Arial"/>
                <w:sz w:val="20"/>
                <w:szCs w:val="20"/>
              </w:rPr>
              <w:t>Addition</w:t>
            </w:r>
            <w:r w:rsidR="00DB23EA"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7152">
              <w:rPr>
                <w:rFonts w:ascii="Arial" w:hAnsi="Arial" w:cs="Arial"/>
                <w:color w:val="0000FF"/>
                <w:sz w:val="20"/>
                <w:szCs w:val="20"/>
              </w:rPr>
              <w:object w:dxaOrig="225" w:dyaOrig="225">
                <v:shape id="_x0000_i1045" type="#_x0000_t75" style="width:9.75pt;height:14.25pt" o:ole="">
                  <v:imagedata r:id="rId7" o:title=""/>
                </v:shape>
                <w:control r:id="rId13" w:name="CheckBox811111113" w:shapeid="_x0000_i1045"/>
              </w:object>
            </w:r>
            <w:r w:rsidR="00DB23EA" w:rsidRPr="00EE715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DB23EA" w:rsidRPr="00EE7152">
              <w:rPr>
                <w:rFonts w:ascii="Arial" w:hAnsi="Arial" w:cs="Arial"/>
                <w:sz w:val="20"/>
                <w:szCs w:val="20"/>
              </w:rPr>
              <w:t xml:space="preserve">Replacement for </w:t>
            </w:r>
            <w:r w:rsidR="00886DDE" w:rsidRPr="00EE71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AC6F7A">
              <w:rPr>
                <w:rFonts w:ascii="Arial" w:hAnsi="Arial" w:cs="Arial"/>
                <w:sz w:val="20"/>
                <w:szCs w:val="20"/>
                <w:u w:val="single"/>
              </w:rPr>
              <w:t>Jeanna Frye</w:t>
            </w:r>
          </w:p>
        </w:tc>
      </w:tr>
      <w:tr w:rsidR="00911A3E" w:rsidRPr="004209B4" w:rsidTr="004209B4">
        <w:tc>
          <w:tcPr>
            <w:tcW w:w="10195" w:type="dxa"/>
            <w:gridSpan w:val="5"/>
          </w:tcPr>
          <w:p w:rsidR="00890251" w:rsidRDefault="00911A3E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7152">
              <w:rPr>
                <w:rFonts w:ascii="Arial" w:hAnsi="Arial" w:cs="Arial"/>
                <w:b/>
                <w:sz w:val="22"/>
                <w:szCs w:val="22"/>
              </w:rPr>
              <w:t xml:space="preserve">Role purpose </w:t>
            </w:r>
          </w:p>
          <w:p w:rsidR="00890251" w:rsidRPr="00EE7152" w:rsidRDefault="00890251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90251" w:rsidRPr="00890251" w:rsidRDefault="00890251" w:rsidP="00890251">
            <w:pPr>
              <w:pStyle w:val="Default"/>
              <w:numPr>
                <w:ilvl w:val="0"/>
                <w:numId w:val="37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In close collaboration with the Head Trade Compliance, the Trade Compliance Officer sets the trade compliance agenda for Syngenta crop protection operations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in NA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and works together with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other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regional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and global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Compliance and Trade Compliance colleagues on delivering the global trade compliance agenda as well as the trade compliance mind-set and culture. </w:t>
            </w:r>
          </w:p>
          <w:p w:rsidR="00890251" w:rsidRPr="00890251" w:rsidRDefault="00890251" w:rsidP="00890251">
            <w:pPr>
              <w:pStyle w:val="Default"/>
              <w:numPr>
                <w:ilvl w:val="0"/>
                <w:numId w:val="37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Support and implement Global Trade Compliance topics; monitor legal/political developments, advise on strategic trade-relevant topics for Syngenta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>regiona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lly and translate into processes, policies and procedures to ensure compliant movement of Syngenta crop protection products. </w:t>
            </w:r>
          </w:p>
          <w:p w:rsidR="006C3897" w:rsidRDefault="00890251" w:rsidP="00890251">
            <w:pPr>
              <w:pStyle w:val="Default"/>
              <w:numPr>
                <w:ilvl w:val="0"/>
                <w:numId w:val="37"/>
              </w:numPr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Design, implement and manage a 3rd party Trade Compliance program, including Denied Party Screenings, Embargo/Sanctions Management, Anti-Corruption Due Diligence, and relevant Compliance topics. </w:t>
            </w:r>
          </w:p>
          <w:p w:rsidR="00890251" w:rsidRPr="00890251" w:rsidRDefault="00890251" w:rsidP="00890251">
            <w:pPr>
              <w:pStyle w:val="Default"/>
              <w:ind w:left="720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E55D88" w:rsidRPr="004209B4" w:rsidTr="004209B4">
        <w:trPr>
          <w:trHeight w:val="647"/>
        </w:trPr>
        <w:tc>
          <w:tcPr>
            <w:tcW w:w="10195" w:type="dxa"/>
            <w:gridSpan w:val="5"/>
          </w:tcPr>
          <w:p w:rsidR="00E55D88" w:rsidRDefault="00E55D88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88B">
              <w:rPr>
                <w:rFonts w:ascii="Arial" w:hAnsi="Arial" w:cs="Arial"/>
                <w:b/>
                <w:sz w:val="22"/>
                <w:szCs w:val="22"/>
              </w:rPr>
              <w:t>Accountabilities</w:t>
            </w:r>
          </w:p>
          <w:p w:rsidR="00890251" w:rsidRPr="008F188B" w:rsidRDefault="00890251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1D57" w:rsidRPr="00890251" w:rsidRDefault="00BE1D57" w:rsidP="00BE1D57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With the Head Trade Compliance, define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North America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crop protection trade compliance program to cover key trade compliance topics such as embargo/sanctions management, rules of origin, free trade agreements,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>CTPAT, valuation, etc.</w:t>
            </w:r>
          </w:p>
          <w:p w:rsidR="00BE1D57" w:rsidRPr="00890251" w:rsidRDefault="00BE1D57" w:rsidP="00BE1D57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With Trade Compliance Officer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>Colleagues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, design the compliance strategic agenda and ensure delivery of this agenda, including implementation and monitoring of the trade compliance program across Syngenta. </w:t>
            </w:r>
          </w:p>
          <w:p w:rsidR="00BE1D57" w:rsidRPr="00890251" w:rsidRDefault="00BE1D57" w:rsidP="00BE1D57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Increase trade compliance visibility and strengthen the Trade Compliance function across all operations. </w:t>
            </w:r>
            <w:bookmarkStart w:id="0" w:name="_GoBack"/>
            <w:bookmarkEnd w:id="0"/>
          </w:p>
          <w:p w:rsidR="00BE1D57" w:rsidRPr="00890251" w:rsidRDefault="00BE1D57" w:rsidP="00BE1D57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Closely interact with colleagues in Commercial, Production &amp; Supply, R&amp;D, and Legal to increase the impact of the Trade Compliance function. </w:t>
            </w:r>
          </w:p>
          <w:p w:rsidR="00BE1D57" w:rsidRPr="00890251" w:rsidRDefault="00BE1D57" w:rsidP="00BE1D57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Develop, implement and enforce a vigorous and robust trade compliance program and training and ensure full compliance with relevant laws and regulations for Syngenta 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>North America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. </w:t>
            </w:r>
          </w:p>
          <w:p w:rsidR="00BE1D57" w:rsidRPr="00890251" w:rsidRDefault="00BE1D57" w:rsidP="00BE1D57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Review activities and transactions to ensure that business is being conducted in an ethical and legal manner and that policies and procedures are followed to reduce the risks of non-compliance with laws, regulations, etc. </w:t>
            </w:r>
          </w:p>
          <w:p w:rsidR="00BE1D57" w:rsidRPr="00890251" w:rsidRDefault="00BE1D57" w:rsidP="00BE1D57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Pro-actively identify potential areas of trade compliance vulnerability and organize and conduct trade compliance reviews proactively and in cooperation with the relevant Commercial, Production &amp; Supply, R&amp;D, and Legal functions in the assigned territories. </w:t>
            </w:r>
          </w:p>
          <w:p w:rsidR="00BE1D57" w:rsidRPr="00890251" w:rsidRDefault="00BE1D57" w:rsidP="00BE1D57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Develop/implement corrective action plans for resolution of problematic issues, and provide general guidance on how to avoid or deal with similar situations in the future. </w:t>
            </w:r>
          </w:p>
          <w:p w:rsidR="00BE1D57" w:rsidRPr="00890251" w:rsidRDefault="00BE1D57" w:rsidP="00890251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Advise Syngenta employees and functions on issues related to trade compliance. </w:t>
            </w:r>
          </w:p>
          <w:p w:rsidR="00BE1D57" w:rsidRPr="00890251" w:rsidRDefault="00BE1D57" w:rsidP="00890251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Focus on prevention together with other Compliance and Legal &amp; Taxes colleagues, conduct internal trainings, certifications, documentation reviews, reporting and assessment of effectiveness through compliance deep dives/surveys/KPIs. </w:t>
            </w:r>
          </w:p>
          <w:p w:rsidR="00BE1D57" w:rsidRPr="00890251" w:rsidRDefault="00BE1D57" w:rsidP="00890251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Share learnings on trade compliance with relevant Compliance colleagues in regions and continuously help improve the global Syngenta trade compliance program. </w:t>
            </w:r>
          </w:p>
          <w:p w:rsidR="00BE1D57" w:rsidRPr="00890251" w:rsidRDefault="00BE1D57" w:rsidP="00890251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>Respond to alleged violations of laws, regulations, Syngenta Code of Conduct, policies, procedures, etc. by evaluating or recommending the initiati</w:t>
            </w:r>
            <w:r w:rsidR="00890251" w:rsidRPr="00890251">
              <w:rPr>
                <w:color w:val="auto"/>
                <w:sz w:val="22"/>
                <w:szCs w:val="22"/>
                <w:lang w:eastAsia="zh-CN"/>
              </w:rPr>
              <w:t>on of investigative procedures, disclosures, etc.</w:t>
            </w:r>
          </w:p>
          <w:p w:rsidR="00BE1D57" w:rsidRPr="00890251" w:rsidRDefault="00BE1D57" w:rsidP="00890251">
            <w:pPr>
              <w:pStyle w:val="Default"/>
              <w:numPr>
                <w:ilvl w:val="0"/>
                <w:numId w:val="36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 xml:space="preserve">Conduct investigations into alleged acts of trade compliance violations. </w:t>
            </w:r>
          </w:p>
          <w:p w:rsidR="00BE1D57" w:rsidRPr="00890251" w:rsidRDefault="00890251" w:rsidP="00890251">
            <w:pPr>
              <w:pStyle w:val="Default"/>
              <w:numPr>
                <w:ilvl w:val="0"/>
                <w:numId w:val="36"/>
              </w:numPr>
              <w:rPr>
                <w:color w:val="auto"/>
                <w:sz w:val="22"/>
                <w:szCs w:val="22"/>
                <w:lang w:eastAsia="zh-CN"/>
              </w:rPr>
            </w:pPr>
            <w:r w:rsidRPr="00890251">
              <w:rPr>
                <w:color w:val="auto"/>
                <w:sz w:val="22"/>
                <w:szCs w:val="22"/>
                <w:lang w:eastAsia="zh-CN"/>
              </w:rPr>
              <w:t>Assist in the d</w:t>
            </w:r>
            <w:r w:rsidR="00BE1D57" w:rsidRPr="00890251">
              <w:rPr>
                <w:color w:val="auto"/>
                <w:sz w:val="22"/>
                <w:szCs w:val="22"/>
                <w:lang w:eastAsia="zh-CN"/>
              </w:rPr>
              <w:t>esign, implement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>ation</w:t>
            </w:r>
            <w:r w:rsidR="00BE1D57" w:rsidRPr="00890251">
              <w:rPr>
                <w:color w:val="auto"/>
                <w:sz w:val="22"/>
                <w:szCs w:val="22"/>
                <w:lang w:eastAsia="zh-CN"/>
              </w:rPr>
              <w:t xml:space="preserve"> and manage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>ment of</w:t>
            </w:r>
            <w:r w:rsidR="00BE1D57" w:rsidRPr="00890251">
              <w:rPr>
                <w:color w:val="auto"/>
                <w:sz w:val="22"/>
                <w:szCs w:val="22"/>
                <w:lang w:eastAsia="zh-CN"/>
              </w:rPr>
              <w:t xml:space="preserve"> a 3rd party Trade Compliance program, including Denied Party Screenings, Embargo/Sanctions Management, Anti-Corruption Due Diligence, and other relevant Complian</w:t>
            </w:r>
            <w:r w:rsidRPr="00890251">
              <w:rPr>
                <w:color w:val="auto"/>
                <w:sz w:val="22"/>
                <w:szCs w:val="22"/>
                <w:lang w:eastAsia="zh-CN"/>
              </w:rPr>
              <w:t>ce topics by leveraging existing programs</w:t>
            </w:r>
            <w:r w:rsidR="00BE1D57" w:rsidRPr="00890251">
              <w:rPr>
                <w:color w:val="auto"/>
                <w:sz w:val="22"/>
                <w:szCs w:val="22"/>
                <w:lang w:eastAsia="zh-CN"/>
              </w:rPr>
              <w:t xml:space="preserve">. </w:t>
            </w:r>
          </w:p>
          <w:p w:rsidR="00E55D88" w:rsidRPr="00890251" w:rsidRDefault="00E64EB2" w:rsidP="00E64EB2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88B">
              <w:rPr>
                <w:rFonts w:ascii="Arial" w:hAnsi="Arial" w:cs="Arial"/>
                <w:sz w:val="22"/>
                <w:szCs w:val="22"/>
              </w:rPr>
              <w:t>Other duties as assigned</w:t>
            </w:r>
            <w:r w:rsidR="005F6EFA">
              <w:rPr>
                <w:rFonts w:ascii="Arial" w:hAnsi="Arial" w:cs="Arial"/>
                <w:sz w:val="22"/>
                <w:szCs w:val="22"/>
              </w:rPr>
              <w:t>; projects which arise both globally and regionally</w:t>
            </w:r>
          </w:p>
          <w:p w:rsidR="00890251" w:rsidRPr="008F188B" w:rsidRDefault="00890251" w:rsidP="00890251">
            <w:pPr>
              <w:ind w:left="64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23EA" w:rsidRPr="004209B4" w:rsidTr="004209B4">
        <w:tc>
          <w:tcPr>
            <w:tcW w:w="10195" w:type="dxa"/>
            <w:gridSpan w:val="5"/>
          </w:tcPr>
          <w:p w:rsidR="00886DDE" w:rsidRDefault="00911A3E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88B">
              <w:rPr>
                <w:rFonts w:ascii="Arial" w:hAnsi="Arial" w:cs="Arial"/>
                <w:b/>
                <w:sz w:val="22"/>
                <w:szCs w:val="22"/>
              </w:rPr>
              <w:t>Critical success factors &amp; key challenge</w:t>
            </w:r>
            <w:r w:rsidR="006C3897" w:rsidRPr="008F188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890251" w:rsidRPr="008F188B" w:rsidRDefault="00890251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4B21" w:rsidRDefault="005F6EFA" w:rsidP="00305A78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</w:t>
            </w:r>
            <w:r w:rsidR="00305A78">
              <w:rPr>
                <w:rFonts w:ascii="Arial" w:hAnsi="Arial" w:cs="Arial"/>
                <w:sz w:val="22"/>
                <w:szCs w:val="22"/>
              </w:rPr>
              <w:t xml:space="preserve"> build s</w:t>
            </w:r>
            <w:r w:rsidR="006C4B21" w:rsidRPr="008F188B">
              <w:rPr>
                <w:rFonts w:ascii="Arial" w:hAnsi="Arial" w:cs="Arial"/>
                <w:sz w:val="22"/>
                <w:szCs w:val="22"/>
              </w:rPr>
              <w:t xml:space="preserve">trong relationships </w:t>
            </w:r>
            <w:r>
              <w:rPr>
                <w:rFonts w:ascii="Arial" w:hAnsi="Arial" w:cs="Arial"/>
                <w:sz w:val="22"/>
                <w:szCs w:val="22"/>
              </w:rPr>
              <w:t>between team and f</w:t>
            </w:r>
            <w:r w:rsidR="00305A78">
              <w:rPr>
                <w:rFonts w:ascii="Arial" w:hAnsi="Arial" w:cs="Arial"/>
                <w:sz w:val="22"/>
                <w:szCs w:val="22"/>
              </w:rPr>
              <w:t xml:space="preserve">inance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C4B21" w:rsidRPr="008F188B">
              <w:rPr>
                <w:rFonts w:ascii="Arial" w:hAnsi="Arial" w:cs="Arial"/>
                <w:sz w:val="22"/>
                <w:szCs w:val="22"/>
              </w:rPr>
              <w:t>rocurement community</w:t>
            </w:r>
          </w:p>
          <w:p w:rsidR="006C4B21" w:rsidRPr="008F188B" w:rsidRDefault="006C4B21" w:rsidP="00305A78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8F188B">
              <w:rPr>
                <w:rFonts w:ascii="Arial" w:hAnsi="Arial" w:cs="Arial"/>
                <w:sz w:val="22"/>
                <w:szCs w:val="22"/>
              </w:rPr>
              <w:t>Ability to work across international boundaries to drive the ongoing improvement of services delivered globally, locally, and across organizations</w:t>
            </w:r>
          </w:p>
          <w:p w:rsidR="006C4B21" w:rsidRPr="008F188B" w:rsidRDefault="006C4B21" w:rsidP="00305A78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8F188B">
              <w:rPr>
                <w:rFonts w:ascii="Arial" w:hAnsi="Arial" w:cs="Arial"/>
                <w:sz w:val="22"/>
                <w:szCs w:val="22"/>
              </w:rPr>
              <w:t>Knowledge and understanding of business improvement process</w:t>
            </w:r>
          </w:p>
          <w:p w:rsidR="006C3897" w:rsidRPr="00EA5112" w:rsidRDefault="006C3897" w:rsidP="00305A7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A3E" w:rsidRPr="004209B4" w:rsidTr="004209B4">
        <w:tc>
          <w:tcPr>
            <w:tcW w:w="10195" w:type="dxa"/>
            <w:gridSpan w:val="5"/>
          </w:tcPr>
          <w:p w:rsidR="007F3230" w:rsidRDefault="00911A3E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1104">
              <w:rPr>
                <w:rFonts w:ascii="Arial" w:hAnsi="Arial" w:cs="Arial"/>
                <w:b/>
                <w:sz w:val="22"/>
                <w:szCs w:val="22"/>
              </w:rPr>
              <w:t>Knowledge, experience &amp; capabilities</w:t>
            </w:r>
          </w:p>
          <w:p w:rsidR="00890251" w:rsidRPr="000A1104" w:rsidRDefault="00890251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6F7A" w:rsidRPr="00AC6F7A" w:rsidRDefault="00AC6F7A" w:rsidP="00AC6F7A">
            <w:pPr>
              <w:pStyle w:val="Default"/>
              <w:numPr>
                <w:ilvl w:val="0"/>
                <w:numId w:val="34"/>
              </w:numPr>
              <w:spacing w:after="25"/>
              <w:rPr>
                <w:color w:val="auto"/>
                <w:sz w:val="22"/>
                <w:szCs w:val="22"/>
                <w:lang w:eastAsia="zh-CN"/>
              </w:rPr>
            </w:pPr>
            <w:r w:rsidRPr="00AC6F7A">
              <w:rPr>
                <w:color w:val="auto"/>
                <w:sz w:val="22"/>
                <w:szCs w:val="22"/>
                <w:lang w:eastAsia="zh-CN"/>
              </w:rPr>
              <w:t xml:space="preserve">Relevant experience in trade law and/or trade compliance. </w:t>
            </w:r>
          </w:p>
          <w:p w:rsidR="00AC6F7A" w:rsidRDefault="00AC6F7A" w:rsidP="00AC6F7A">
            <w:pPr>
              <w:pStyle w:val="Default"/>
              <w:numPr>
                <w:ilvl w:val="0"/>
                <w:numId w:val="34"/>
              </w:numPr>
              <w:rPr>
                <w:color w:val="auto"/>
                <w:sz w:val="22"/>
                <w:szCs w:val="22"/>
                <w:lang w:eastAsia="zh-CN"/>
              </w:rPr>
            </w:pPr>
            <w:r w:rsidRPr="00AC6F7A">
              <w:rPr>
                <w:color w:val="auto"/>
                <w:sz w:val="22"/>
                <w:szCs w:val="22"/>
                <w:lang w:eastAsia="zh-CN"/>
              </w:rPr>
              <w:t xml:space="preserve">Considerable relevant job experience and training. </w:t>
            </w:r>
          </w:p>
          <w:p w:rsidR="00890251" w:rsidRPr="00AC6F7A" w:rsidRDefault="00890251" w:rsidP="00890251">
            <w:pPr>
              <w:pStyle w:val="Default"/>
              <w:ind w:left="720"/>
              <w:rPr>
                <w:color w:val="auto"/>
                <w:sz w:val="22"/>
                <w:szCs w:val="22"/>
                <w:lang w:eastAsia="zh-CN"/>
              </w:rPr>
            </w:pPr>
          </w:p>
          <w:p w:rsidR="00E55D88" w:rsidRDefault="00E55D88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1104">
              <w:rPr>
                <w:rFonts w:ascii="Arial" w:hAnsi="Arial" w:cs="Arial"/>
                <w:b/>
                <w:sz w:val="22"/>
                <w:szCs w:val="22"/>
              </w:rPr>
              <w:t>Critical knowledge</w:t>
            </w:r>
          </w:p>
          <w:p w:rsidR="00890251" w:rsidRPr="000A1104" w:rsidRDefault="00890251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6F7A" w:rsidRPr="00AC6F7A" w:rsidRDefault="00AC6F7A" w:rsidP="00AC6F7A">
            <w:pPr>
              <w:pStyle w:val="Default"/>
              <w:numPr>
                <w:ilvl w:val="0"/>
                <w:numId w:val="35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AC6F7A">
              <w:rPr>
                <w:color w:val="auto"/>
                <w:sz w:val="22"/>
                <w:szCs w:val="22"/>
                <w:lang w:eastAsia="zh-CN"/>
              </w:rPr>
              <w:t xml:space="preserve">Excellent academic background with at least one degree in 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business, </w:t>
            </w:r>
            <w:r w:rsidRPr="00AC6F7A">
              <w:rPr>
                <w:color w:val="auto"/>
                <w:sz w:val="22"/>
                <w:szCs w:val="22"/>
                <w:lang w:eastAsia="zh-CN"/>
              </w:rPr>
              <w:t xml:space="preserve">economics, international trade and / or law. </w:t>
            </w:r>
          </w:p>
          <w:p w:rsidR="00AC6F7A" w:rsidRPr="00AC6F7A" w:rsidRDefault="00AC6F7A" w:rsidP="00AC6F7A">
            <w:pPr>
              <w:pStyle w:val="Default"/>
              <w:numPr>
                <w:ilvl w:val="0"/>
                <w:numId w:val="35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AC6F7A">
              <w:rPr>
                <w:color w:val="auto"/>
                <w:sz w:val="22"/>
                <w:szCs w:val="22"/>
                <w:lang w:eastAsia="zh-CN"/>
              </w:rPr>
              <w:t xml:space="preserve">Ability to research, interpret and communicate international laws and regulations and translate this knowledge into actionable items. </w:t>
            </w:r>
          </w:p>
          <w:p w:rsidR="00AC6F7A" w:rsidRPr="00AC6F7A" w:rsidRDefault="00AC6F7A" w:rsidP="00AC6F7A">
            <w:pPr>
              <w:pStyle w:val="Default"/>
              <w:numPr>
                <w:ilvl w:val="0"/>
                <w:numId w:val="35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AC6F7A">
              <w:rPr>
                <w:color w:val="auto"/>
                <w:sz w:val="22"/>
                <w:szCs w:val="22"/>
                <w:lang w:eastAsia="zh-CN"/>
              </w:rPr>
              <w:t xml:space="preserve">Ability to communicate clearly and persuasively with internal and external stakeholders. </w:t>
            </w:r>
          </w:p>
          <w:p w:rsidR="00AC6F7A" w:rsidRPr="00AC6F7A" w:rsidRDefault="00AC6F7A" w:rsidP="00AC6F7A">
            <w:pPr>
              <w:pStyle w:val="Default"/>
              <w:numPr>
                <w:ilvl w:val="0"/>
                <w:numId w:val="35"/>
              </w:numPr>
              <w:spacing w:after="27"/>
              <w:rPr>
                <w:color w:val="auto"/>
                <w:sz w:val="22"/>
                <w:szCs w:val="22"/>
                <w:lang w:eastAsia="zh-CN"/>
              </w:rPr>
            </w:pPr>
            <w:r w:rsidRPr="00AC6F7A">
              <w:rPr>
                <w:color w:val="auto"/>
                <w:sz w:val="22"/>
                <w:szCs w:val="22"/>
                <w:lang w:eastAsia="zh-CN"/>
              </w:rPr>
              <w:t xml:space="preserve">Sound knowledge in financial and accounting matters and compliance-relevant business processes. </w:t>
            </w:r>
          </w:p>
          <w:p w:rsidR="00AC6F7A" w:rsidRPr="00AC6F7A" w:rsidRDefault="00AC6F7A" w:rsidP="00AC6F7A">
            <w:pPr>
              <w:pStyle w:val="Default"/>
              <w:numPr>
                <w:ilvl w:val="0"/>
                <w:numId w:val="35"/>
              </w:numPr>
              <w:rPr>
                <w:color w:val="auto"/>
                <w:sz w:val="22"/>
                <w:szCs w:val="22"/>
                <w:lang w:eastAsia="zh-CN"/>
              </w:rPr>
            </w:pPr>
            <w:r w:rsidRPr="00AC6F7A">
              <w:rPr>
                <w:color w:val="auto"/>
                <w:sz w:val="22"/>
                <w:szCs w:val="22"/>
                <w:lang w:eastAsia="zh-CN"/>
              </w:rPr>
              <w:t xml:space="preserve">Clear understanding of logistics and supply chain operations. </w:t>
            </w:r>
          </w:p>
          <w:p w:rsidR="00E55D88" w:rsidRPr="000A1104" w:rsidRDefault="00E55D88" w:rsidP="00EE71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55D88" w:rsidRDefault="00E55D88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1104">
              <w:rPr>
                <w:rFonts w:ascii="Arial" w:hAnsi="Arial" w:cs="Arial"/>
                <w:b/>
                <w:sz w:val="22"/>
                <w:szCs w:val="22"/>
              </w:rPr>
              <w:t>Critical experience</w:t>
            </w:r>
          </w:p>
          <w:p w:rsidR="00890251" w:rsidRPr="000A1104" w:rsidRDefault="00890251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7152" w:rsidRPr="000A1104" w:rsidRDefault="00AC6F7A" w:rsidP="000A1104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10+</w:t>
            </w:r>
            <w:r w:rsidR="00EE7152" w:rsidRPr="000A1104">
              <w:rPr>
                <w:rFonts w:ascii="Arial" w:hAnsi="Arial" w:cs="Arial"/>
                <w:bCs/>
                <w:sz w:val="22"/>
                <w:szCs w:val="22"/>
              </w:rPr>
              <w:t xml:space="preserve"> years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Customs/International Trade Operations/Compliance</w:t>
            </w:r>
          </w:p>
          <w:p w:rsidR="00E55D88" w:rsidRPr="000A1104" w:rsidRDefault="00EE7152" w:rsidP="000A1104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104">
              <w:rPr>
                <w:rFonts w:ascii="Arial" w:hAnsi="Arial" w:cs="Arial"/>
                <w:bCs/>
                <w:sz w:val="22"/>
                <w:szCs w:val="22"/>
              </w:rPr>
              <w:t>Experience working in virtual/remote teams</w:t>
            </w:r>
            <w:r w:rsidR="00AC6F7A">
              <w:rPr>
                <w:rFonts w:ascii="Arial" w:hAnsi="Arial" w:cs="Arial"/>
                <w:bCs/>
                <w:sz w:val="22"/>
                <w:szCs w:val="22"/>
              </w:rPr>
              <w:t xml:space="preserve"> a plus</w:t>
            </w:r>
          </w:p>
          <w:p w:rsidR="00E55D88" w:rsidRPr="000A1104" w:rsidRDefault="00E55D88" w:rsidP="00EE71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55D88" w:rsidRDefault="00E55D88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1104">
              <w:rPr>
                <w:rFonts w:ascii="Arial" w:hAnsi="Arial" w:cs="Arial"/>
                <w:b/>
                <w:sz w:val="22"/>
                <w:szCs w:val="22"/>
              </w:rPr>
              <w:t>Critical technical, professional and personal capabilities</w:t>
            </w:r>
          </w:p>
          <w:p w:rsidR="00890251" w:rsidRPr="000A1104" w:rsidRDefault="00890251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4B21" w:rsidRPr="000A1104" w:rsidRDefault="006C4B21" w:rsidP="000A1104">
            <w:pPr>
              <w:numPr>
                <w:ilvl w:val="0"/>
                <w:numId w:val="19"/>
              </w:numPr>
              <w:tabs>
                <w:tab w:val="right" w:pos="9540"/>
              </w:tabs>
              <w:rPr>
                <w:rFonts w:ascii="Arial" w:hAnsi="Arial" w:cs="Arial"/>
                <w:sz w:val="22"/>
                <w:szCs w:val="22"/>
              </w:rPr>
            </w:pPr>
            <w:r w:rsidRPr="000A1104">
              <w:rPr>
                <w:rFonts w:ascii="Arial" w:hAnsi="Arial" w:cs="Arial"/>
                <w:sz w:val="22"/>
                <w:szCs w:val="22"/>
              </w:rPr>
              <w:t>Excellent organization, follow-up and analytical skills;</w:t>
            </w:r>
          </w:p>
          <w:p w:rsidR="006C4B21" w:rsidRPr="000A1104" w:rsidRDefault="006C4B21" w:rsidP="000A1104">
            <w:pPr>
              <w:numPr>
                <w:ilvl w:val="0"/>
                <w:numId w:val="19"/>
              </w:numPr>
              <w:tabs>
                <w:tab w:val="right" w:pos="9540"/>
              </w:tabs>
              <w:rPr>
                <w:rFonts w:ascii="Arial" w:hAnsi="Arial" w:cs="Arial"/>
                <w:sz w:val="22"/>
                <w:szCs w:val="22"/>
              </w:rPr>
            </w:pPr>
            <w:r w:rsidRPr="000A1104">
              <w:rPr>
                <w:rFonts w:ascii="Arial" w:hAnsi="Arial" w:cs="Arial"/>
                <w:sz w:val="22"/>
                <w:szCs w:val="22"/>
              </w:rPr>
              <w:t>Strong communication and presentation skills</w:t>
            </w:r>
          </w:p>
          <w:p w:rsidR="006C4B21" w:rsidRPr="000A1104" w:rsidRDefault="006C4B21" w:rsidP="000A1104">
            <w:pPr>
              <w:numPr>
                <w:ilvl w:val="0"/>
                <w:numId w:val="19"/>
              </w:numPr>
              <w:tabs>
                <w:tab w:val="right" w:pos="9540"/>
              </w:tabs>
              <w:rPr>
                <w:rFonts w:ascii="Arial" w:hAnsi="Arial" w:cs="Arial"/>
                <w:sz w:val="22"/>
                <w:szCs w:val="22"/>
              </w:rPr>
            </w:pPr>
            <w:r w:rsidRPr="000A1104">
              <w:rPr>
                <w:rFonts w:ascii="Arial" w:hAnsi="Arial" w:cs="Arial"/>
                <w:sz w:val="22"/>
                <w:szCs w:val="22"/>
              </w:rPr>
              <w:t>Ability to work collaboratively across organizational and cultural boundaries</w:t>
            </w:r>
          </w:p>
          <w:p w:rsidR="000B6492" w:rsidRPr="000A1104" w:rsidRDefault="000B6492" w:rsidP="000A1104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A1104">
              <w:rPr>
                <w:rFonts w:ascii="Arial" w:hAnsi="Arial" w:cs="Arial"/>
                <w:bCs/>
                <w:sz w:val="22"/>
                <w:szCs w:val="22"/>
              </w:rPr>
              <w:t>Change management</w:t>
            </w:r>
          </w:p>
          <w:p w:rsidR="00E55D88" w:rsidRPr="000A1104" w:rsidRDefault="00E55D88" w:rsidP="00EE7152">
            <w:pPr>
              <w:tabs>
                <w:tab w:val="right" w:pos="9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55D88" w:rsidRDefault="00E55D88" w:rsidP="00EE7152">
            <w:pPr>
              <w:tabs>
                <w:tab w:val="right" w:pos="9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1104">
              <w:rPr>
                <w:rFonts w:ascii="Arial" w:hAnsi="Arial" w:cs="Arial"/>
                <w:b/>
                <w:sz w:val="22"/>
                <w:szCs w:val="22"/>
              </w:rPr>
              <w:t>Critical leadership capabilities</w:t>
            </w:r>
          </w:p>
          <w:p w:rsidR="00890251" w:rsidRPr="000A1104" w:rsidRDefault="00890251" w:rsidP="00EE7152">
            <w:pPr>
              <w:tabs>
                <w:tab w:val="right" w:pos="9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1104" w:rsidRPr="000A1104" w:rsidRDefault="000A1104" w:rsidP="000A110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0A1104">
              <w:rPr>
                <w:rFonts w:ascii="Arial" w:hAnsi="Arial" w:cs="Arial"/>
                <w:sz w:val="22"/>
                <w:szCs w:val="22"/>
              </w:rPr>
              <w:t>Skillfully plans, organizes and monitors performance to meet deadlines</w:t>
            </w:r>
          </w:p>
          <w:p w:rsidR="000A1104" w:rsidRPr="000A1104" w:rsidRDefault="000A1104" w:rsidP="000A110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0A1104">
              <w:rPr>
                <w:rFonts w:ascii="Arial" w:hAnsi="Arial" w:cs="Arial"/>
                <w:sz w:val="22"/>
                <w:szCs w:val="22"/>
              </w:rPr>
              <w:t>Senses and adapts to the changing environment to achieve excellence in delivery</w:t>
            </w:r>
          </w:p>
          <w:p w:rsidR="000A1104" w:rsidRPr="000A1104" w:rsidRDefault="000A1104" w:rsidP="000A110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0A1104">
              <w:rPr>
                <w:rFonts w:ascii="Arial" w:hAnsi="Arial" w:cs="Arial"/>
                <w:sz w:val="22"/>
                <w:szCs w:val="22"/>
              </w:rPr>
              <w:t>Prioritizes actions and ensures appropriate support and resource</w:t>
            </w:r>
          </w:p>
          <w:p w:rsidR="00886DDE" w:rsidRPr="000A1104" w:rsidRDefault="00886DDE" w:rsidP="00EE71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A3E" w:rsidRPr="004209B4" w:rsidTr="004209B4">
        <w:tc>
          <w:tcPr>
            <w:tcW w:w="10195" w:type="dxa"/>
            <w:gridSpan w:val="5"/>
          </w:tcPr>
          <w:p w:rsidR="00E55D88" w:rsidRDefault="00911A3E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F72">
              <w:rPr>
                <w:rFonts w:ascii="Arial" w:hAnsi="Arial" w:cs="Arial"/>
                <w:b/>
                <w:sz w:val="22"/>
                <w:szCs w:val="22"/>
              </w:rPr>
              <w:lastRenderedPageBreak/>
              <w:t>Additional information</w:t>
            </w:r>
          </w:p>
          <w:p w:rsidR="00890251" w:rsidRPr="005B7F72" w:rsidRDefault="00890251" w:rsidP="00EE71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1A3E" w:rsidRPr="00EE7152" w:rsidRDefault="00911A3E" w:rsidP="00EE71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A minimum of 2 years in current position is required</w:t>
            </w:r>
            <w:r w:rsidR="006C3897" w:rsidRPr="00EE7152">
              <w:rPr>
                <w:rFonts w:ascii="Arial" w:hAnsi="Arial" w:cs="Arial"/>
                <w:sz w:val="20"/>
                <w:szCs w:val="20"/>
              </w:rPr>
              <w:t xml:space="preserve"> (requirement for internal applicants only)</w:t>
            </w:r>
          </w:p>
          <w:p w:rsidR="006C3897" w:rsidRDefault="00911A3E" w:rsidP="00EE71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 xml:space="preserve">All applicants must be eligible to work in the </w:t>
            </w:r>
            <w:smartTag w:uri="urn:schemas-microsoft-com:office:smarttags" w:element="country-region">
              <w:smartTag w:uri="urn:schemas-microsoft-com:office:smarttags" w:element="place">
                <w:r w:rsidRPr="00EE7152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EE715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3D39" w:rsidRPr="00EE7152" w:rsidRDefault="00AC6F7A" w:rsidP="00EE71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</w:t>
            </w:r>
            <w:r w:rsidR="00CB3D39">
              <w:rPr>
                <w:rFonts w:ascii="Arial" w:hAnsi="Arial" w:cs="Arial"/>
                <w:sz w:val="20"/>
                <w:szCs w:val="20"/>
              </w:rPr>
              <w:t xml:space="preserve"> travel required</w:t>
            </w:r>
          </w:p>
        </w:tc>
      </w:tr>
      <w:tr w:rsidR="00E55D88" w:rsidRPr="004209B4" w:rsidTr="004209B4">
        <w:trPr>
          <w:trHeight w:val="467"/>
        </w:trPr>
        <w:tc>
          <w:tcPr>
            <w:tcW w:w="2635" w:type="dxa"/>
            <w:gridSpan w:val="2"/>
          </w:tcPr>
          <w:p w:rsidR="00E55D88" w:rsidRPr="00EE7152" w:rsidRDefault="00E55D88" w:rsidP="00911A3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560" w:type="dxa"/>
            <w:gridSpan w:val="3"/>
          </w:tcPr>
          <w:p w:rsidR="00E55D88" w:rsidRPr="00EE7152" w:rsidRDefault="00E55D88" w:rsidP="00911A3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Signature Functional Supervisor:</w:t>
            </w:r>
          </w:p>
        </w:tc>
      </w:tr>
      <w:tr w:rsidR="00E55D88" w:rsidRPr="004209B4" w:rsidTr="004209B4">
        <w:trPr>
          <w:trHeight w:val="548"/>
        </w:trPr>
        <w:tc>
          <w:tcPr>
            <w:tcW w:w="2635" w:type="dxa"/>
            <w:gridSpan w:val="2"/>
          </w:tcPr>
          <w:p w:rsidR="00E55D88" w:rsidRPr="00EE7152" w:rsidRDefault="00E55D88" w:rsidP="00911A3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560" w:type="dxa"/>
            <w:gridSpan w:val="3"/>
          </w:tcPr>
          <w:p w:rsidR="00E55D88" w:rsidRPr="00EE7152" w:rsidRDefault="00E55D88" w:rsidP="00911A3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Signature Functional Head:</w:t>
            </w:r>
          </w:p>
        </w:tc>
      </w:tr>
      <w:tr w:rsidR="00E55D88" w:rsidRPr="004209B4" w:rsidTr="004209B4">
        <w:trPr>
          <w:trHeight w:val="512"/>
        </w:trPr>
        <w:tc>
          <w:tcPr>
            <w:tcW w:w="2635" w:type="dxa"/>
            <w:gridSpan w:val="2"/>
          </w:tcPr>
          <w:p w:rsidR="00E55D88" w:rsidRPr="00EE7152" w:rsidRDefault="00E55D88" w:rsidP="00911A3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560" w:type="dxa"/>
            <w:gridSpan w:val="3"/>
          </w:tcPr>
          <w:p w:rsidR="00E55D88" w:rsidRPr="00EE7152" w:rsidRDefault="00E55D88" w:rsidP="00911A3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Signature Business Head:</w:t>
            </w:r>
          </w:p>
        </w:tc>
      </w:tr>
      <w:tr w:rsidR="00E55D88" w:rsidRPr="004209B4" w:rsidTr="004209B4">
        <w:trPr>
          <w:trHeight w:val="548"/>
        </w:trPr>
        <w:tc>
          <w:tcPr>
            <w:tcW w:w="2635" w:type="dxa"/>
            <w:gridSpan w:val="2"/>
          </w:tcPr>
          <w:p w:rsidR="00E55D88" w:rsidRPr="00EE7152" w:rsidRDefault="00E55D88" w:rsidP="00911A3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560" w:type="dxa"/>
            <w:gridSpan w:val="3"/>
          </w:tcPr>
          <w:p w:rsidR="00E55D88" w:rsidRPr="00EE7152" w:rsidRDefault="00E55D88" w:rsidP="00911A3E">
            <w:pPr>
              <w:rPr>
                <w:rFonts w:ascii="Arial" w:hAnsi="Arial" w:cs="Arial"/>
                <w:sz w:val="20"/>
                <w:szCs w:val="20"/>
              </w:rPr>
            </w:pPr>
            <w:r w:rsidRPr="00EE7152">
              <w:rPr>
                <w:rFonts w:ascii="Arial" w:hAnsi="Arial" w:cs="Arial"/>
                <w:sz w:val="20"/>
                <w:szCs w:val="20"/>
              </w:rPr>
              <w:t>Signature HR Business Partner</w:t>
            </w:r>
          </w:p>
        </w:tc>
      </w:tr>
      <w:tr w:rsidR="00E354E7" w:rsidRPr="004209B4" w:rsidTr="004209B4">
        <w:tc>
          <w:tcPr>
            <w:tcW w:w="10195" w:type="dxa"/>
            <w:gridSpan w:val="5"/>
          </w:tcPr>
          <w:p w:rsidR="00E55D88" w:rsidRPr="00EE7152" w:rsidRDefault="00E55D88" w:rsidP="004209B4">
            <w:pPr>
              <w:pStyle w:val="BlockText"/>
              <w:tabs>
                <w:tab w:val="left" w:pos="8820"/>
              </w:tabs>
              <w:ind w:left="0" w:right="509"/>
            </w:pPr>
            <w:r w:rsidRPr="00EE7152">
              <w:t>No hard-copy resumes will be accepted.</w:t>
            </w:r>
          </w:p>
          <w:p w:rsidR="00E354E7" w:rsidRPr="00EE7152" w:rsidRDefault="00E55D88" w:rsidP="004209B4">
            <w:pPr>
              <w:pStyle w:val="BlockText"/>
              <w:keepLines/>
              <w:tabs>
                <w:tab w:val="left" w:pos="8820"/>
              </w:tabs>
              <w:ind w:left="0" w:right="504"/>
            </w:pPr>
            <w:r w:rsidRPr="00EE7152">
              <w:t>We are an Equal Opportunity Employer. M/F/D/V</w:t>
            </w:r>
          </w:p>
        </w:tc>
      </w:tr>
      <w:tr w:rsidR="009B47A2" w:rsidRPr="004209B4" w:rsidTr="004209B4">
        <w:tc>
          <w:tcPr>
            <w:tcW w:w="10195" w:type="dxa"/>
            <w:gridSpan w:val="5"/>
          </w:tcPr>
          <w:p w:rsidR="009B47A2" w:rsidRPr="00EE7152" w:rsidRDefault="009B47A2" w:rsidP="0090765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7152">
              <w:rPr>
                <w:rFonts w:ascii="Arial" w:hAnsi="Arial" w:cs="Arial"/>
                <w:color w:val="FF0000"/>
                <w:sz w:val="20"/>
                <w:szCs w:val="20"/>
              </w:rPr>
              <w:t xml:space="preserve">For HR Use ONLY (partnership with </w:t>
            </w:r>
            <w:proofErr w:type="spellStart"/>
            <w:r w:rsidRPr="00EE7152">
              <w:rPr>
                <w:rFonts w:ascii="Arial" w:hAnsi="Arial" w:cs="Arial"/>
                <w:color w:val="FF0000"/>
                <w:sz w:val="20"/>
                <w:szCs w:val="20"/>
              </w:rPr>
              <w:t>Yoh</w:t>
            </w:r>
            <w:proofErr w:type="spellEnd"/>
            <w:r w:rsidRPr="00EE7152">
              <w:rPr>
                <w:rFonts w:ascii="Arial" w:hAnsi="Arial" w:cs="Arial"/>
                <w:color w:val="FF0000"/>
                <w:sz w:val="20"/>
                <w:szCs w:val="20"/>
              </w:rPr>
              <w:t xml:space="preserve"> HR Solutions)</w:t>
            </w:r>
          </w:p>
          <w:p w:rsidR="009B47A2" w:rsidRPr="00EE7152" w:rsidRDefault="009B47A2" w:rsidP="009B47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7152">
              <w:rPr>
                <w:rFonts w:ascii="Arial" w:hAnsi="Arial" w:cs="Arial"/>
                <w:color w:val="FF0000"/>
                <w:sz w:val="20"/>
                <w:szCs w:val="20"/>
              </w:rPr>
              <w:t>Role Tier -</w:t>
            </w:r>
          </w:p>
          <w:p w:rsidR="009B47A2" w:rsidRPr="00EE7152" w:rsidRDefault="009B47A2" w:rsidP="009B47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B47A2" w:rsidRPr="00EE7152" w:rsidRDefault="009B47A2" w:rsidP="009B47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7152">
              <w:rPr>
                <w:rFonts w:ascii="Arial" w:hAnsi="Arial" w:cs="Arial"/>
                <w:color w:val="FF0000"/>
                <w:sz w:val="20"/>
                <w:szCs w:val="20"/>
              </w:rPr>
              <w:t>Priority Status -</w:t>
            </w:r>
          </w:p>
        </w:tc>
      </w:tr>
    </w:tbl>
    <w:p w:rsidR="00911A3E" w:rsidRPr="006C3897" w:rsidRDefault="00911A3E" w:rsidP="009B47A2">
      <w:pPr>
        <w:rPr>
          <w:sz w:val="4"/>
          <w:szCs w:val="4"/>
        </w:rPr>
      </w:pPr>
    </w:p>
    <w:sectPr w:rsidR="00911A3E" w:rsidRPr="006C3897" w:rsidSect="006C3897">
      <w:headerReference w:type="default" r:id="rId14"/>
      <w:pgSz w:w="12240" w:h="15840"/>
      <w:pgMar w:top="1440" w:right="1138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F3" w:rsidRDefault="000B01F3" w:rsidP="00E354E7">
      <w:r>
        <w:separator/>
      </w:r>
    </w:p>
  </w:endnote>
  <w:endnote w:type="continuationSeparator" w:id="0">
    <w:p w:rsidR="000B01F3" w:rsidRDefault="000B01F3" w:rsidP="00E3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F3" w:rsidRDefault="000B01F3" w:rsidP="00E354E7">
      <w:r>
        <w:separator/>
      </w:r>
    </w:p>
  </w:footnote>
  <w:footnote w:type="continuationSeparator" w:id="0">
    <w:p w:rsidR="000B01F3" w:rsidRDefault="000B01F3" w:rsidP="00E3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EAD" w:rsidRPr="00F402CB" w:rsidRDefault="00CE3EAD" w:rsidP="00DB23EA">
    <w:pPr>
      <w:pStyle w:val="Header"/>
      <w:jc w:val="center"/>
      <w:rPr>
        <w:sz w:val="44"/>
        <w:szCs w:val="44"/>
      </w:rPr>
    </w:pPr>
    <w:r w:rsidRPr="00F402CB">
      <w:rPr>
        <w:rFonts w:ascii="Arial" w:hAnsi="Arial" w:cs="Arial"/>
        <w:b/>
        <w:color w:val="009933"/>
        <w:sz w:val="44"/>
        <w:szCs w:val="44"/>
        <w:lang w:val="it-IT"/>
      </w:rPr>
      <w:t>Syngenta Role Profile</w:t>
    </w:r>
    <w:r>
      <w:rPr>
        <w:noProof/>
        <w:sz w:val="44"/>
        <w:szCs w:val="44"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4934585</wp:posOffset>
          </wp:positionH>
          <wp:positionV relativeFrom="page">
            <wp:posOffset>485775</wp:posOffset>
          </wp:positionV>
          <wp:extent cx="1009015" cy="314325"/>
          <wp:effectExtent l="1905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3EAD" w:rsidRDefault="00CE3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15ABEFC"/>
    <w:lvl w:ilvl="0">
      <w:numFmt w:val="decimal"/>
      <w:lvlText w:val="*"/>
      <w:lvlJc w:val="left"/>
    </w:lvl>
  </w:abstractNum>
  <w:abstractNum w:abstractNumId="1" w15:restartNumberingAfterBreak="0">
    <w:nsid w:val="001E28A7"/>
    <w:multiLevelType w:val="hybridMultilevel"/>
    <w:tmpl w:val="B69E7372"/>
    <w:lvl w:ilvl="0" w:tplc="7A80F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BA3466"/>
    <w:multiLevelType w:val="hybridMultilevel"/>
    <w:tmpl w:val="B7503058"/>
    <w:lvl w:ilvl="0" w:tplc="E15ABEFC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0B1A"/>
    <w:multiLevelType w:val="hybridMultilevel"/>
    <w:tmpl w:val="068EE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533FC8"/>
    <w:multiLevelType w:val="hybridMultilevel"/>
    <w:tmpl w:val="4A74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D33B4"/>
    <w:multiLevelType w:val="multilevel"/>
    <w:tmpl w:val="C0A286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1AEC"/>
    <w:multiLevelType w:val="hybridMultilevel"/>
    <w:tmpl w:val="31725004"/>
    <w:lvl w:ilvl="0" w:tplc="F6A84C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068FB"/>
    <w:multiLevelType w:val="multilevel"/>
    <w:tmpl w:val="D44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4890"/>
    <w:multiLevelType w:val="hybridMultilevel"/>
    <w:tmpl w:val="45AE761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B540F0D6">
      <w:numFmt w:val="bullet"/>
      <w:lvlText w:val="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A3C233C"/>
    <w:multiLevelType w:val="hybridMultilevel"/>
    <w:tmpl w:val="F6E6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182"/>
    <w:multiLevelType w:val="hybridMultilevel"/>
    <w:tmpl w:val="9FC6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531A"/>
    <w:multiLevelType w:val="multilevel"/>
    <w:tmpl w:val="C0A286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B3A5E"/>
    <w:multiLevelType w:val="hybridMultilevel"/>
    <w:tmpl w:val="DDBC1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D0EB3"/>
    <w:multiLevelType w:val="hybridMultilevel"/>
    <w:tmpl w:val="8D10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0031C"/>
    <w:multiLevelType w:val="hybridMultilevel"/>
    <w:tmpl w:val="32961B86"/>
    <w:lvl w:ilvl="0" w:tplc="EDE4D8C2">
      <w:start w:val="1"/>
      <w:numFmt w:val="bullet"/>
      <w:lvlText w:val=""/>
      <w:lvlJc w:val="left"/>
      <w:pPr>
        <w:tabs>
          <w:tab w:val="num" w:pos="720"/>
        </w:tabs>
        <w:ind w:left="64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B7728BA"/>
    <w:multiLevelType w:val="hybridMultilevel"/>
    <w:tmpl w:val="3878B162"/>
    <w:lvl w:ilvl="0" w:tplc="B540F0D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15160"/>
    <w:multiLevelType w:val="hybridMultilevel"/>
    <w:tmpl w:val="49D04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580605"/>
    <w:multiLevelType w:val="hybridMultilevel"/>
    <w:tmpl w:val="25D258A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E132D"/>
    <w:multiLevelType w:val="hybridMultilevel"/>
    <w:tmpl w:val="9376B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07F53"/>
    <w:multiLevelType w:val="multilevel"/>
    <w:tmpl w:val="C0A286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20E86"/>
    <w:multiLevelType w:val="hybridMultilevel"/>
    <w:tmpl w:val="DFAEB156"/>
    <w:lvl w:ilvl="0" w:tplc="EDE4D8C2">
      <w:start w:val="1"/>
      <w:numFmt w:val="bullet"/>
      <w:lvlText w:val=""/>
      <w:lvlJc w:val="left"/>
      <w:pPr>
        <w:tabs>
          <w:tab w:val="num" w:pos="288"/>
        </w:tabs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F40CC"/>
    <w:multiLevelType w:val="hybridMultilevel"/>
    <w:tmpl w:val="0B6EE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C028D"/>
    <w:multiLevelType w:val="hybridMultilevel"/>
    <w:tmpl w:val="1438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81BDA"/>
    <w:multiLevelType w:val="hybridMultilevel"/>
    <w:tmpl w:val="75B2B8E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B6D57D4"/>
    <w:multiLevelType w:val="hybridMultilevel"/>
    <w:tmpl w:val="715C4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B1091"/>
    <w:multiLevelType w:val="multilevel"/>
    <w:tmpl w:val="C0A286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D61A1"/>
    <w:multiLevelType w:val="hybridMultilevel"/>
    <w:tmpl w:val="4C885D84"/>
    <w:lvl w:ilvl="0" w:tplc="EDE4D8C2">
      <w:start w:val="1"/>
      <w:numFmt w:val="bullet"/>
      <w:lvlText w:val=""/>
      <w:lvlJc w:val="left"/>
      <w:pPr>
        <w:tabs>
          <w:tab w:val="num" w:pos="288"/>
        </w:tabs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76580"/>
    <w:multiLevelType w:val="hybridMultilevel"/>
    <w:tmpl w:val="3386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24F7A"/>
    <w:multiLevelType w:val="hybridMultilevel"/>
    <w:tmpl w:val="931E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F0F14"/>
    <w:multiLevelType w:val="hybridMultilevel"/>
    <w:tmpl w:val="32B009CA"/>
    <w:lvl w:ilvl="0" w:tplc="EDE4D8C2">
      <w:start w:val="1"/>
      <w:numFmt w:val="bullet"/>
      <w:lvlText w:val=""/>
      <w:lvlJc w:val="left"/>
      <w:pPr>
        <w:tabs>
          <w:tab w:val="num" w:pos="288"/>
        </w:tabs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046DC"/>
    <w:multiLevelType w:val="hybridMultilevel"/>
    <w:tmpl w:val="515C8BB6"/>
    <w:lvl w:ilvl="0" w:tplc="EDE4D8C2">
      <w:start w:val="1"/>
      <w:numFmt w:val="bullet"/>
      <w:lvlText w:val=""/>
      <w:lvlJc w:val="left"/>
      <w:pPr>
        <w:tabs>
          <w:tab w:val="num" w:pos="288"/>
        </w:tabs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41F85"/>
    <w:multiLevelType w:val="hybridMultilevel"/>
    <w:tmpl w:val="C0A286CC"/>
    <w:lvl w:ilvl="0" w:tplc="F6A84C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27798"/>
    <w:multiLevelType w:val="hybridMultilevel"/>
    <w:tmpl w:val="CE08AEFC"/>
    <w:lvl w:ilvl="0" w:tplc="EDE4D8C2">
      <w:start w:val="1"/>
      <w:numFmt w:val="bullet"/>
      <w:lvlText w:val=""/>
      <w:lvlJc w:val="left"/>
      <w:pPr>
        <w:tabs>
          <w:tab w:val="num" w:pos="1440"/>
        </w:tabs>
        <w:ind w:left="136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05F69"/>
    <w:multiLevelType w:val="hybridMultilevel"/>
    <w:tmpl w:val="1E6C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8376E"/>
    <w:multiLevelType w:val="hybridMultilevel"/>
    <w:tmpl w:val="67884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36BA5"/>
    <w:multiLevelType w:val="hybridMultilevel"/>
    <w:tmpl w:val="4BEC3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4D8C2">
      <w:start w:val="1"/>
      <w:numFmt w:val="bullet"/>
      <w:lvlText w:val=""/>
      <w:lvlJc w:val="left"/>
      <w:pPr>
        <w:tabs>
          <w:tab w:val="num" w:pos="1368"/>
        </w:tabs>
        <w:ind w:left="1296" w:hanging="216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B46D7"/>
    <w:multiLevelType w:val="hybridMultilevel"/>
    <w:tmpl w:val="F7A40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1"/>
  </w:num>
  <w:num w:numId="4">
    <w:abstractNumId w:val="6"/>
  </w:num>
  <w:num w:numId="5">
    <w:abstractNumId w:val="25"/>
  </w:num>
  <w:num w:numId="6">
    <w:abstractNumId w:val="26"/>
  </w:num>
  <w:num w:numId="7">
    <w:abstractNumId w:val="5"/>
  </w:num>
  <w:num w:numId="8">
    <w:abstractNumId w:val="20"/>
  </w:num>
  <w:num w:numId="9">
    <w:abstractNumId w:val="11"/>
  </w:num>
  <w:num w:numId="10">
    <w:abstractNumId w:val="29"/>
  </w:num>
  <w:num w:numId="11">
    <w:abstractNumId w:val="19"/>
  </w:num>
  <w:num w:numId="12">
    <w:abstractNumId w:val="30"/>
  </w:num>
  <w:num w:numId="13">
    <w:abstractNumId w:val="7"/>
  </w:num>
  <w:num w:numId="14">
    <w:abstractNumId w:val="32"/>
  </w:num>
  <w:num w:numId="15">
    <w:abstractNumId w:val="16"/>
  </w:num>
  <w:num w:numId="16">
    <w:abstractNumId w:val="14"/>
  </w:num>
  <w:num w:numId="17">
    <w:abstractNumId w:val="34"/>
  </w:num>
  <w:num w:numId="18">
    <w:abstractNumId w:val="27"/>
  </w:num>
  <w:num w:numId="19">
    <w:abstractNumId w:val="17"/>
  </w:num>
  <w:num w:numId="20">
    <w:abstractNumId w:val="12"/>
  </w:num>
  <w:num w:numId="21">
    <w:abstractNumId w:val="21"/>
  </w:num>
  <w:num w:numId="22">
    <w:abstractNumId w:val="18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4">
    <w:abstractNumId w:val="8"/>
  </w:num>
  <w:num w:numId="25">
    <w:abstractNumId w:val="3"/>
  </w:num>
  <w:num w:numId="26">
    <w:abstractNumId w:val="2"/>
  </w:num>
  <w:num w:numId="27">
    <w:abstractNumId w:val="23"/>
  </w:num>
  <w:num w:numId="28">
    <w:abstractNumId w:val="15"/>
  </w:num>
  <w:num w:numId="29">
    <w:abstractNumId w:val="10"/>
  </w:num>
  <w:num w:numId="30">
    <w:abstractNumId w:val="36"/>
  </w:num>
  <w:num w:numId="31">
    <w:abstractNumId w:val="24"/>
  </w:num>
  <w:num w:numId="32">
    <w:abstractNumId w:val="4"/>
  </w:num>
  <w:num w:numId="33">
    <w:abstractNumId w:val="28"/>
  </w:num>
  <w:num w:numId="34">
    <w:abstractNumId w:val="9"/>
  </w:num>
  <w:num w:numId="35">
    <w:abstractNumId w:val="33"/>
  </w:num>
  <w:num w:numId="36">
    <w:abstractNumId w:val="1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E7"/>
    <w:rsid w:val="00041070"/>
    <w:rsid w:val="000A1104"/>
    <w:rsid w:val="000B01F3"/>
    <w:rsid w:val="000B6492"/>
    <w:rsid w:val="001014E5"/>
    <w:rsid w:val="00131C48"/>
    <w:rsid w:val="001451A7"/>
    <w:rsid w:val="001F663F"/>
    <w:rsid w:val="00264F3B"/>
    <w:rsid w:val="00267369"/>
    <w:rsid w:val="002A7437"/>
    <w:rsid w:val="002F46B3"/>
    <w:rsid w:val="003030B6"/>
    <w:rsid w:val="00305A78"/>
    <w:rsid w:val="00340D80"/>
    <w:rsid w:val="00360550"/>
    <w:rsid w:val="00372AAD"/>
    <w:rsid w:val="00373C94"/>
    <w:rsid w:val="003E5270"/>
    <w:rsid w:val="00403AA0"/>
    <w:rsid w:val="00416B87"/>
    <w:rsid w:val="004209B4"/>
    <w:rsid w:val="004B0EF6"/>
    <w:rsid w:val="00516FE0"/>
    <w:rsid w:val="00542A08"/>
    <w:rsid w:val="005512F2"/>
    <w:rsid w:val="005B7F72"/>
    <w:rsid w:val="005D7CD9"/>
    <w:rsid w:val="005F6EFA"/>
    <w:rsid w:val="006058D2"/>
    <w:rsid w:val="0065640F"/>
    <w:rsid w:val="00656EF9"/>
    <w:rsid w:val="006710CB"/>
    <w:rsid w:val="00692F61"/>
    <w:rsid w:val="006941D3"/>
    <w:rsid w:val="006C0C78"/>
    <w:rsid w:val="006C3897"/>
    <w:rsid w:val="006C4B21"/>
    <w:rsid w:val="007147FC"/>
    <w:rsid w:val="00714BD1"/>
    <w:rsid w:val="00742C03"/>
    <w:rsid w:val="00755567"/>
    <w:rsid w:val="00774191"/>
    <w:rsid w:val="007940B1"/>
    <w:rsid w:val="007C46E5"/>
    <w:rsid w:val="007F3230"/>
    <w:rsid w:val="008477DB"/>
    <w:rsid w:val="00886DDE"/>
    <w:rsid w:val="00890251"/>
    <w:rsid w:val="00892178"/>
    <w:rsid w:val="008E79A2"/>
    <w:rsid w:val="008F188B"/>
    <w:rsid w:val="008F1BC9"/>
    <w:rsid w:val="0090765F"/>
    <w:rsid w:val="00911A3E"/>
    <w:rsid w:val="009225D8"/>
    <w:rsid w:val="009B47A2"/>
    <w:rsid w:val="00A04833"/>
    <w:rsid w:val="00A860E7"/>
    <w:rsid w:val="00AA4640"/>
    <w:rsid w:val="00AA74D0"/>
    <w:rsid w:val="00AC6F7A"/>
    <w:rsid w:val="00B1610E"/>
    <w:rsid w:val="00BA4566"/>
    <w:rsid w:val="00BE1D57"/>
    <w:rsid w:val="00BE3AA6"/>
    <w:rsid w:val="00C403E6"/>
    <w:rsid w:val="00C466C3"/>
    <w:rsid w:val="00CB3D39"/>
    <w:rsid w:val="00CE3EAD"/>
    <w:rsid w:val="00D059A3"/>
    <w:rsid w:val="00D44AE8"/>
    <w:rsid w:val="00D740CC"/>
    <w:rsid w:val="00DB23EA"/>
    <w:rsid w:val="00DC5B11"/>
    <w:rsid w:val="00DC5CC9"/>
    <w:rsid w:val="00DE37CC"/>
    <w:rsid w:val="00DE3BCC"/>
    <w:rsid w:val="00DE7474"/>
    <w:rsid w:val="00DF3653"/>
    <w:rsid w:val="00DF3EB5"/>
    <w:rsid w:val="00DF630C"/>
    <w:rsid w:val="00E354E7"/>
    <w:rsid w:val="00E55D88"/>
    <w:rsid w:val="00E64EB2"/>
    <w:rsid w:val="00E85B1E"/>
    <w:rsid w:val="00EA5112"/>
    <w:rsid w:val="00EA727D"/>
    <w:rsid w:val="00EE7152"/>
    <w:rsid w:val="00F0065F"/>
    <w:rsid w:val="00F27992"/>
    <w:rsid w:val="00F5725B"/>
    <w:rsid w:val="00F64312"/>
    <w:rsid w:val="00F72C23"/>
    <w:rsid w:val="00FA30BB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5:docId w15:val="{2B9FEEB1-2B02-4A15-B8D4-FE473CFE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55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354E7"/>
    <w:rPr>
      <w:color w:val="0000FF"/>
      <w:u w:val="single"/>
    </w:rPr>
  </w:style>
  <w:style w:type="paragraph" w:styleId="BlockText">
    <w:name w:val="Block Text"/>
    <w:basedOn w:val="Normal"/>
    <w:rsid w:val="00E354E7"/>
    <w:pPr>
      <w:overflowPunct w:val="0"/>
      <w:autoSpaceDE w:val="0"/>
      <w:autoSpaceDN w:val="0"/>
      <w:adjustRightInd w:val="0"/>
      <w:ind w:left="1170" w:right="1317"/>
      <w:jc w:val="center"/>
      <w:textAlignment w:val="baseline"/>
    </w:pPr>
    <w:rPr>
      <w:rFonts w:ascii="Arial" w:eastAsia="Times New Roman" w:hAnsi="Arial" w:cs="Arial"/>
      <w:b/>
      <w:bCs/>
      <w:color w:val="0000FF"/>
      <w:sz w:val="20"/>
      <w:szCs w:val="20"/>
      <w:lang w:eastAsia="en-US"/>
    </w:rPr>
  </w:style>
  <w:style w:type="paragraph" w:styleId="Header">
    <w:name w:val="header"/>
    <w:basedOn w:val="Normal"/>
    <w:rsid w:val="00DB23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23E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30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E3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37CC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AC6F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5367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Requisition #</vt:lpstr>
    </vt:vector>
  </TitlesOfParts>
  <Company>Syngenta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Requisition #</dc:title>
  <dc:creator>Katelyn Mitchell</dc:creator>
  <cp:lastModifiedBy>Jeanna Frye</cp:lastModifiedBy>
  <cp:revision>2</cp:revision>
  <cp:lastPrinted>2014-08-08T12:38:00Z</cp:lastPrinted>
  <dcterms:created xsi:type="dcterms:W3CDTF">2018-02-19T15:31:00Z</dcterms:created>
  <dcterms:modified xsi:type="dcterms:W3CDTF">2018-02-19T15:31:00Z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