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8C0" w:rsidRPr="00F86C61" w:rsidRDefault="00F86C61">
      <w:pPr>
        <w:rPr>
          <w:rFonts w:cs="Arial"/>
          <w:color w:val="3C3C3C"/>
          <w:shd w:val="clear" w:color="auto" w:fill="FFFFFF"/>
        </w:rPr>
      </w:pPr>
      <w:r w:rsidRPr="00F86C61">
        <w:rPr>
          <w:rFonts w:cs="Arial"/>
          <w:color w:val="3C3C3C"/>
          <w:shd w:val="clear" w:color="auto" w:fill="FFFFFF"/>
        </w:rPr>
        <w:t>OSRAM, based in Munich and with headquarters for the Americas region located in Wilmington, Massachusetts, is a global leading lighting manufacturer with a history dating back more than 100 years. OSRAM’s product portfolio includes high-tech applications based on semiconductor technology such as infrared or laser lighting, as well as products used in highly diverse applications ranging from virtual reality, autonomous driving, mobile phones as well as smart and connected lighting solutions in buildings and cities. In auto</w:t>
      </w:r>
      <w:bookmarkStart w:id="0" w:name="_GoBack"/>
      <w:bookmarkEnd w:id="0"/>
      <w:r w:rsidRPr="00F86C61">
        <w:rPr>
          <w:rFonts w:cs="Arial"/>
          <w:color w:val="3C3C3C"/>
          <w:shd w:val="clear" w:color="auto" w:fill="FFFFFF"/>
        </w:rPr>
        <w:t>motive lighting, OSRAM is the global market and technology leader.</w:t>
      </w:r>
    </w:p>
    <w:p w:rsidR="00F86C61" w:rsidRPr="00F86C61" w:rsidRDefault="00F86C61" w:rsidP="00F86C61">
      <w:r w:rsidRPr="00F86C61">
        <w:t xml:space="preserve">The Regulatory Governance Lead will be positioned within the Governance Department, concentrating on providing research, regulatory and operational governance support to the leads for Export Control Governance, Anti-Corruption &amp; Antitrust Compliance, Data Privacy and Operational Governance.  Responsibilities will include collaborating with key stakeholders within the Americas region on a variety of topics. Specifically, serving as a liaison in the administration, implementation, and development and monitoring of Export Control Compliance, Anti-Corruption &amp; Antitrust Compliance, </w:t>
      </w:r>
      <w:proofErr w:type="gramStart"/>
      <w:r w:rsidRPr="00F86C61">
        <w:t>Data</w:t>
      </w:r>
      <w:proofErr w:type="gramEnd"/>
      <w:r w:rsidRPr="00F86C61">
        <w:t xml:space="preserve"> Privacy and Operational Governance frameworks. A primary area of emphasis and support will be on Export Control compliance topics under the direction of the Global Export Control Governance Head.</w:t>
      </w:r>
    </w:p>
    <w:p w:rsidR="00F86C61" w:rsidRPr="00F86C61" w:rsidRDefault="00F86C61" w:rsidP="00F86C61">
      <w:r w:rsidRPr="00F86C61">
        <w:t xml:space="preserve">As a liaison to both regional and corporate stakeholders and their respective groups, the Regulatory Governance Lead will collaborate with all levels of management and employees in order to contribute to mitigation strategies for broadly safeguarding the company and its employees from risks, penalties and fines related to nonconformance. Critical to the candidate’s success will be the development of sustainable, collaborative, customer-centric partnerships with both internal and external customers while maximizing business process productivity.  Additionally, the role will include conducting legal research to stay well-informed of global legal and regulatory requirements as it relates to all topics within the Compliance / Governance Group.  </w:t>
      </w:r>
    </w:p>
    <w:p w:rsidR="00F86C61" w:rsidRPr="00F86C61" w:rsidRDefault="00F86C61" w:rsidP="00F86C61">
      <w:pPr>
        <w:rPr>
          <w:b/>
        </w:rPr>
      </w:pPr>
      <w:r w:rsidRPr="00F86C61">
        <w:rPr>
          <w:b/>
        </w:rPr>
        <w:t>Work closely with the Global Export Control Governance Head to:</w:t>
      </w:r>
    </w:p>
    <w:p w:rsidR="00F86C61" w:rsidRPr="00F86C61" w:rsidRDefault="00F86C61" w:rsidP="00F86C61">
      <w:pPr>
        <w:pStyle w:val="ListParagraph"/>
        <w:numPr>
          <w:ilvl w:val="0"/>
          <w:numId w:val="6"/>
        </w:numPr>
      </w:pPr>
      <w:r w:rsidRPr="00F86C61">
        <w:t>Execute and monitor the export control governance function within region Americas, lead the regional implementation and ongoing maintenance of binding corporate rules for export control, provide guidance and render legal advice for the global ECC Community on the U.S. regulations for export and re-export to the OSRAM group.</w:t>
      </w:r>
    </w:p>
    <w:p w:rsidR="00F86C61" w:rsidRPr="00F86C61" w:rsidRDefault="00F86C61" w:rsidP="00F86C61">
      <w:pPr>
        <w:pStyle w:val="ListParagraph"/>
        <w:numPr>
          <w:ilvl w:val="0"/>
          <w:numId w:val="6"/>
        </w:numPr>
      </w:pPr>
      <w:r w:rsidRPr="00F86C61">
        <w:t>Establish an external legal network in the region to identify essential and relevant export control requirements applicable for the OSRAM group and implement them into corporate rules and systems.</w:t>
      </w:r>
    </w:p>
    <w:p w:rsidR="00F86C61" w:rsidRPr="00F86C61" w:rsidRDefault="00F86C61" w:rsidP="00F86C61">
      <w:pPr>
        <w:pStyle w:val="ListParagraph"/>
        <w:numPr>
          <w:ilvl w:val="0"/>
          <w:numId w:val="6"/>
        </w:numPr>
      </w:pPr>
      <w:r w:rsidRPr="00F86C61">
        <w:t>Collaborate, implement and further develop the OSRAM Internal Control Program for Export Control, define processes and IT tools in the area of export control, and monitor the corresponding implementation and use within the OSRAM group.</w:t>
      </w:r>
    </w:p>
    <w:p w:rsidR="00F86C61" w:rsidRPr="00F86C61" w:rsidRDefault="00F86C61" w:rsidP="00F86C61">
      <w:pPr>
        <w:pStyle w:val="ListParagraph"/>
        <w:numPr>
          <w:ilvl w:val="0"/>
          <w:numId w:val="6"/>
        </w:numPr>
      </w:pPr>
      <w:r w:rsidRPr="00F86C61">
        <w:t>Design and conduct export control audits.</w:t>
      </w:r>
    </w:p>
    <w:p w:rsidR="00F86C61" w:rsidRPr="00F86C61" w:rsidRDefault="00F86C61" w:rsidP="00F86C61">
      <w:pPr>
        <w:pStyle w:val="ListParagraph"/>
        <w:numPr>
          <w:ilvl w:val="0"/>
          <w:numId w:val="6"/>
        </w:numPr>
      </w:pPr>
      <w:r w:rsidRPr="00F86C61">
        <w:t>Manage Export Control (ECC) liaisons in the region, and share best practices; work with compliance, legal, business unit and other functions to ensure that appropriate documentation pertaining to export control are distributed and maintained throughout all regional operations.</w:t>
      </w:r>
    </w:p>
    <w:p w:rsidR="00F86C61" w:rsidRPr="00F86C61" w:rsidRDefault="00F86C61" w:rsidP="00F86C61">
      <w:pPr>
        <w:pStyle w:val="ListParagraph"/>
        <w:numPr>
          <w:ilvl w:val="0"/>
          <w:numId w:val="6"/>
        </w:numPr>
      </w:pPr>
      <w:r w:rsidRPr="00F86C61">
        <w:t>Develop and implement processes to identify and address export control risks in regional business operations, including the development of new products and services in intelligent lighting controls and energy management systems.</w:t>
      </w:r>
    </w:p>
    <w:p w:rsidR="00F86C61" w:rsidRPr="00F86C61" w:rsidRDefault="00F86C61" w:rsidP="00F86C61">
      <w:pPr>
        <w:pStyle w:val="ListParagraph"/>
        <w:numPr>
          <w:ilvl w:val="0"/>
          <w:numId w:val="6"/>
        </w:numPr>
      </w:pPr>
      <w:r w:rsidRPr="00F86C61">
        <w:lastRenderedPageBreak/>
        <w:t>Inform business leaders and employees about trends and developments in export control regulations, develop and conduct appropriate central training programs, create awareness campaigns, and design innovative communication materials.</w:t>
      </w:r>
    </w:p>
    <w:p w:rsidR="00F86C61" w:rsidRPr="00F86C61" w:rsidRDefault="00F86C61" w:rsidP="00F86C61">
      <w:pPr>
        <w:pStyle w:val="ListParagraph"/>
        <w:numPr>
          <w:ilvl w:val="0"/>
          <w:numId w:val="6"/>
        </w:numPr>
      </w:pPr>
      <w:r w:rsidRPr="00F86C61">
        <w:t>Consult in export control issues in M &amp; A projects, perform respective trade compliance due diligence.</w:t>
      </w:r>
    </w:p>
    <w:p w:rsidR="00F86C61" w:rsidRPr="00F86C61" w:rsidRDefault="00F86C61" w:rsidP="00F86C61">
      <w:pPr>
        <w:pStyle w:val="ListParagraph"/>
        <w:numPr>
          <w:ilvl w:val="0"/>
          <w:numId w:val="6"/>
        </w:numPr>
      </w:pPr>
      <w:r w:rsidRPr="00F86C61">
        <w:t>Enforce OSRAM’s group interests in industry associations, ministries or authorities with regard to export control.</w:t>
      </w:r>
    </w:p>
    <w:p w:rsidR="00F86C61" w:rsidRPr="00F86C61" w:rsidRDefault="00F86C61" w:rsidP="00F86C61">
      <w:pPr>
        <w:shd w:val="clear" w:color="auto" w:fill="FFFFFF"/>
        <w:spacing w:before="100" w:beforeAutospacing="1" w:after="100" w:afterAutospacing="1" w:line="270" w:lineRule="atLeast"/>
        <w:ind w:left="360"/>
        <w:rPr>
          <w:rFonts w:eastAsia="Times New Roman" w:cs="Times New Roman"/>
          <w:b/>
          <w:color w:val="3C3C3C"/>
        </w:rPr>
      </w:pPr>
      <w:r w:rsidRPr="00F86C61">
        <w:rPr>
          <w:rFonts w:eastAsia="Times New Roman" w:cs="Arial"/>
          <w:b/>
          <w:color w:val="3C3C3C"/>
          <w:u w:val="single"/>
        </w:rPr>
        <w:t>Anti-Corruption &amp; Antitrust:</w:t>
      </w:r>
    </w:p>
    <w:p w:rsidR="00F86C61" w:rsidRPr="00F86C61" w:rsidRDefault="00F86C61" w:rsidP="00F86C61">
      <w:pPr>
        <w:pStyle w:val="ListParagraph"/>
        <w:numPr>
          <w:ilvl w:val="0"/>
          <w:numId w:val="6"/>
        </w:numPr>
        <w:shd w:val="clear" w:color="auto" w:fill="FFFFFF"/>
        <w:spacing w:before="100" w:beforeAutospacing="1" w:after="100" w:afterAutospacing="1" w:line="270" w:lineRule="atLeast"/>
        <w:rPr>
          <w:rFonts w:eastAsia="Times New Roman" w:cs="Helvetica"/>
          <w:color w:val="3C3C3C"/>
        </w:rPr>
      </w:pPr>
      <w:r w:rsidRPr="00F86C61">
        <w:rPr>
          <w:rFonts w:eastAsia="Times New Roman" w:cs="Arial"/>
          <w:color w:val="3C3C3C"/>
        </w:rPr>
        <w:t>Provide guidance for promoting a corporate culture designed to prevent possible violations of applicable anti-corruption and antitrust regulations through internal guidelines and training, uncover existing violations and take necessary measures to prevent future violations.</w:t>
      </w:r>
    </w:p>
    <w:p w:rsidR="00F86C61" w:rsidRPr="00F86C61" w:rsidRDefault="00F86C61" w:rsidP="00F86C61">
      <w:pPr>
        <w:pStyle w:val="ListParagraph"/>
        <w:numPr>
          <w:ilvl w:val="0"/>
          <w:numId w:val="6"/>
        </w:numPr>
        <w:shd w:val="clear" w:color="auto" w:fill="FFFFFF"/>
        <w:spacing w:before="100" w:beforeAutospacing="1" w:after="100" w:afterAutospacing="1" w:line="270" w:lineRule="atLeast"/>
        <w:rPr>
          <w:rFonts w:eastAsia="Times New Roman" w:cs="Helvetica"/>
          <w:color w:val="3C3C3C"/>
        </w:rPr>
      </w:pPr>
      <w:r w:rsidRPr="00F86C61">
        <w:rPr>
          <w:rFonts w:eastAsia="Times New Roman" w:cs="Arial"/>
          <w:color w:val="3C3C3C"/>
        </w:rPr>
        <w:t>Serve as the focal point for compliance activities, by assisting with all aspects of the Compliance Program, this includes analyzing the effectiveness of compliance activities, reporting risks and recommendations to management and the design and execution of innovative communication initiatives.</w:t>
      </w:r>
    </w:p>
    <w:p w:rsidR="00F86C61" w:rsidRPr="00F86C61" w:rsidRDefault="00F86C61" w:rsidP="00F86C61">
      <w:pPr>
        <w:pStyle w:val="ListParagraph"/>
        <w:numPr>
          <w:ilvl w:val="0"/>
          <w:numId w:val="6"/>
        </w:numPr>
        <w:shd w:val="clear" w:color="auto" w:fill="FFFFFF"/>
        <w:spacing w:before="100" w:beforeAutospacing="1" w:after="100" w:afterAutospacing="1" w:line="270" w:lineRule="atLeast"/>
        <w:rPr>
          <w:rFonts w:eastAsia="Times New Roman" w:cs="Helvetica"/>
          <w:color w:val="3C3C3C"/>
        </w:rPr>
      </w:pPr>
      <w:r w:rsidRPr="00F86C61">
        <w:rPr>
          <w:rFonts w:eastAsia="Times New Roman" w:cs="Arial"/>
          <w:color w:val="3C3C3C"/>
        </w:rPr>
        <w:t>Support risk assessments, internal investigations, regulatory inquiries as well as providing advice on regulatory compliance matters.</w:t>
      </w:r>
    </w:p>
    <w:p w:rsidR="00F86C61" w:rsidRPr="00F86C61" w:rsidRDefault="00F86C61" w:rsidP="00F86C61">
      <w:pPr>
        <w:shd w:val="clear" w:color="auto" w:fill="FFFFFF"/>
        <w:spacing w:before="100" w:beforeAutospacing="1" w:after="100" w:afterAutospacing="1" w:line="270" w:lineRule="atLeast"/>
        <w:ind w:left="360"/>
        <w:rPr>
          <w:rFonts w:eastAsia="Times New Roman" w:cs="Times New Roman"/>
          <w:b/>
          <w:color w:val="3C3C3C"/>
        </w:rPr>
      </w:pPr>
      <w:r w:rsidRPr="00F86C61">
        <w:rPr>
          <w:rFonts w:eastAsia="Times New Roman" w:cs="Arial"/>
          <w:b/>
          <w:color w:val="3C3C3C"/>
          <w:u w:val="single"/>
        </w:rPr>
        <w:t>Data Privacy:</w:t>
      </w:r>
    </w:p>
    <w:p w:rsidR="00F86C61" w:rsidRPr="00F86C61" w:rsidRDefault="00F86C61" w:rsidP="00F86C61">
      <w:pPr>
        <w:pStyle w:val="ListParagraph"/>
        <w:numPr>
          <w:ilvl w:val="0"/>
          <w:numId w:val="6"/>
        </w:numPr>
        <w:shd w:val="clear" w:color="auto" w:fill="FFFFFF"/>
        <w:spacing w:before="100" w:beforeAutospacing="1" w:after="100" w:afterAutospacing="1" w:line="270" w:lineRule="atLeast"/>
        <w:rPr>
          <w:rFonts w:eastAsia="Times New Roman" w:cs="Helvetica"/>
          <w:color w:val="3C3C3C"/>
        </w:rPr>
      </w:pPr>
      <w:r w:rsidRPr="00F86C61">
        <w:rPr>
          <w:rFonts w:eastAsia="Times New Roman" w:cs="Arial"/>
          <w:color w:val="3C3C3C"/>
        </w:rPr>
        <w:t>Collaborate with stakeholders to evaluate systems compliance with privacy laws and regulations, to implement processes aligned with corporate policies and applicable laws and regulations.</w:t>
      </w:r>
    </w:p>
    <w:p w:rsidR="00F86C61" w:rsidRPr="00F86C61" w:rsidRDefault="00F86C61" w:rsidP="00F86C61">
      <w:pPr>
        <w:pStyle w:val="ListParagraph"/>
        <w:numPr>
          <w:ilvl w:val="0"/>
          <w:numId w:val="6"/>
        </w:numPr>
        <w:shd w:val="clear" w:color="auto" w:fill="FFFFFF"/>
        <w:spacing w:before="100" w:beforeAutospacing="1" w:after="100" w:afterAutospacing="1" w:line="270" w:lineRule="atLeast"/>
        <w:rPr>
          <w:rFonts w:eastAsia="Times New Roman" w:cs="Helvetica"/>
          <w:color w:val="3C3C3C"/>
        </w:rPr>
      </w:pPr>
      <w:r w:rsidRPr="00F86C61">
        <w:rPr>
          <w:rFonts w:eastAsia="Times New Roman" w:cs="Arial"/>
          <w:color w:val="3C3C3C"/>
        </w:rPr>
        <w:t>Gather and communicate data privacy regulatory updates that could impact business operations.</w:t>
      </w:r>
    </w:p>
    <w:p w:rsidR="00F86C61" w:rsidRPr="00F86C61" w:rsidRDefault="00F86C61" w:rsidP="00F86C61">
      <w:pPr>
        <w:pStyle w:val="ListParagraph"/>
        <w:numPr>
          <w:ilvl w:val="0"/>
          <w:numId w:val="6"/>
        </w:numPr>
        <w:shd w:val="clear" w:color="auto" w:fill="FFFFFF"/>
        <w:spacing w:before="100" w:beforeAutospacing="1" w:after="100" w:afterAutospacing="1" w:line="270" w:lineRule="atLeast"/>
        <w:rPr>
          <w:rFonts w:eastAsia="Times New Roman" w:cs="Helvetica"/>
          <w:color w:val="3C3C3C"/>
        </w:rPr>
      </w:pPr>
      <w:r w:rsidRPr="00F86C61">
        <w:rPr>
          <w:rFonts w:eastAsia="Times New Roman" w:cs="Arial"/>
          <w:color w:val="3C3C3C"/>
        </w:rPr>
        <w:t>Provide support for identifying and executing opportunities to continuously improve privacy and data protection policies.</w:t>
      </w:r>
      <w:r w:rsidRPr="00F86C61">
        <w:rPr>
          <w:rFonts w:eastAsia="Times New Roman" w:cs="Helvetica"/>
          <w:color w:val="3C3C3C"/>
        </w:rPr>
        <w:t> </w:t>
      </w:r>
    </w:p>
    <w:p w:rsidR="00F86C61" w:rsidRPr="00F86C61" w:rsidRDefault="00F86C61" w:rsidP="00F86C61">
      <w:pPr>
        <w:shd w:val="clear" w:color="auto" w:fill="FFFFFF"/>
        <w:spacing w:before="100" w:beforeAutospacing="1" w:after="100" w:afterAutospacing="1" w:line="270" w:lineRule="atLeast"/>
        <w:ind w:left="360"/>
        <w:rPr>
          <w:rFonts w:eastAsia="Times New Roman" w:cs="Times New Roman"/>
          <w:b/>
          <w:color w:val="3C3C3C"/>
        </w:rPr>
      </w:pPr>
      <w:r w:rsidRPr="00F86C61">
        <w:rPr>
          <w:rFonts w:eastAsia="Times New Roman" w:cs="Arial"/>
          <w:b/>
          <w:color w:val="3C3C3C"/>
          <w:u w:val="single"/>
        </w:rPr>
        <w:t>Operational Governance:</w:t>
      </w:r>
    </w:p>
    <w:p w:rsidR="00F86C61" w:rsidRPr="00F86C61" w:rsidRDefault="00F86C61" w:rsidP="00F86C61">
      <w:pPr>
        <w:pStyle w:val="ListParagraph"/>
        <w:numPr>
          <w:ilvl w:val="0"/>
          <w:numId w:val="6"/>
        </w:numPr>
        <w:shd w:val="clear" w:color="auto" w:fill="FFFFFF"/>
        <w:spacing w:before="100" w:beforeAutospacing="1" w:after="100" w:afterAutospacing="1" w:line="270" w:lineRule="atLeast"/>
        <w:rPr>
          <w:rFonts w:eastAsia="Times New Roman" w:cs="Helvetica"/>
          <w:color w:val="3C3C3C"/>
        </w:rPr>
      </w:pPr>
      <w:r w:rsidRPr="00F86C61">
        <w:rPr>
          <w:rFonts w:eastAsia="Times New Roman" w:cs="Arial"/>
          <w:color w:val="3C3C3C"/>
        </w:rPr>
        <w:t>Under the direction of the Operational Governance Manager contribute to the streamlining of the policy framework including stakeholder review meetings, updates and recommendations.</w:t>
      </w:r>
    </w:p>
    <w:p w:rsidR="00F86C61" w:rsidRPr="00F86C61" w:rsidRDefault="00F86C61" w:rsidP="00F86C61">
      <w:pPr>
        <w:pStyle w:val="ListParagraph"/>
        <w:numPr>
          <w:ilvl w:val="0"/>
          <w:numId w:val="6"/>
        </w:numPr>
        <w:shd w:val="clear" w:color="auto" w:fill="FFFFFF"/>
        <w:spacing w:before="100" w:beforeAutospacing="1" w:after="100" w:afterAutospacing="1" w:line="270" w:lineRule="atLeast"/>
        <w:rPr>
          <w:rFonts w:eastAsia="Times New Roman" w:cs="Helvetica"/>
          <w:color w:val="3C3C3C"/>
        </w:rPr>
      </w:pPr>
      <w:r w:rsidRPr="00F86C61">
        <w:rPr>
          <w:rFonts w:eastAsia="Times New Roman" w:cs="Arial"/>
          <w:color w:val="3C3C3C"/>
        </w:rPr>
        <w:t>Provide support with merger and acquisition integration activities on behalf of the acquiring business unit.</w:t>
      </w:r>
    </w:p>
    <w:p w:rsidR="00F86C61" w:rsidRPr="00F86C61" w:rsidRDefault="00F86C61" w:rsidP="00F86C61">
      <w:pPr>
        <w:pStyle w:val="ListParagraph"/>
        <w:numPr>
          <w:ilvl w:val="0"/>
          <w:numId w:val="6"/>
        </w:numPr>
        <w:shd w:val="clear" w:color="auto" w:fill="FFFFFF"/>
        <w:spacing w:before="100" w:beforeAutospacing="1" w:after="100" w:afterAutospacing="1" w:line="270" w:lineRule="atLeast"/>
        <w:rPr>
          <w:rFonts w:eastAsia="Times New Roman" w:cs="Helvetica"/>
          <w:color w:val="3C3C3C"/>
        </w:rPr>
      </w:pPr>
      <w:r w:rsidRPr="00F86C61">
        <w:rPr>
          <w:rFonts w:eastAsia="Times New Roman" w:cs="Arial"/>
          <w:color w:val="3C3C3C"/>
        </w:rPr>
        <w:t>Assist the Enterprise Risk Management process within the region including the development and monitoring of action plans to mitigate risks and accentuate opportunities. </w:t>
      </w:r>
    </w:p>
    <w:p w:rsidR="00F86C61" w:rsidRPr="00F86C61" w:rsidRDefault="00F86C61" w:rsidP="00F86C61">
      <w:pPr>
        <w:shd w:val="clear" w:color="auto" w:fill="FFFFFF"/>
        <w:spacing w:after="0" w:line="270" w:lineRule="atLeast"/>
        <w:rPr>
          <w:rFonts w:eastAsia="Times New Roman" w:cs="Times New Roman"/>
          <w:color w:val="3C3C3C"/>
        </w:rPr>
      </w:pPr>
      <w:r w:rsidRPr="00F86C61">
        <w:rPr>
          <w:rFonts w:eastAsia="Times New Roman" w:cs="Arial"/>
          <w:b/>
          <w:bCs/>
          <w:color w:val="3C3C3C"/>
        </w:rPr>
        <w:t>General Responsibilities:</w:t>
      </w:r>
    </w:p>
    <w:p w:rsidR="00F86C61" w:rsidRPr="00F86C61" w:rsidRDefault="00F86C61" w:rsidP="00F86C61">
      <w:pPr>
        <w:pStyle w:val="ListParagraph"/>
        <w:numPr>
          <w:ilvl w:val="0"/>
          <w:numId w:val="8"/>
        </w:numPr>
        <w:shd w:val="clear" w:color="auto" w:fill="FFFFFF"/>
        <w:spacing w:before="100" w:beforeAutospacing="1" w:after="100" w:afterAutospacing="1" w:line="270" w:lineRule="atLeast"/>
        <w:rPr>
          <w:rFonts w:eastAsia="Times New Roman" w:cs="Helvetica"/>
          <w:color w:val="3C3C3C"/>
        </w:rPr>
      </w:pPr>
      <w:r w:rsidRPr="00F86C61">
        <w:rPr>
          <w:rFonts w:eastAsia="Times New Roman" w:cs="Arial"/>
          <w:color w:val="3C3C3C"/>
        </w:rPr>
        <w:t>Support department initiatives, including quarterly board meetings, regulatory announcements, policy review and updates to enhance the culture of the Department. Highlight and remedy business process gaps and or business process streamlining opportunities.</w:t>
      </w:r>
    </w:p>
    <w:p w:rsidR="00F86C61" w:rsidRPr="00F86C61" w:rsidRDefault="00F86C61" w:rsidP="00F86C61">
      <w:pPr>
        <w:pStyle w:val="ListParagraph"/>
        <w:numPr>
          <w:ilvl w:val="0"/>
          <w:numId w:val="8"/>
        </w:numPr>
        <w:shd w:val="clear" w:color="auto" w:fill="FFFFFF"/>
        <w:spacing w:before="100" w:beforeAutospacing="1" w:after="100" w:afterAutospacing="1" w:line="270" w:lineRule="atLeast"/>
        <w:rPr>
          <w:rFonts w:eastAsia="Times New Roman" w:cs="Helvetica"/>
          <w:color w:val="3C3C3C"/>
        </w:rPr>
      </w:pPr>
      <w:r w:rsidRPr="00F86C61">
        <w:rPr>
          <w:rFonts w:eastAsia="Times New Roman" w:cs="Arial"/>
          <w:color w:val="3C3C3C"/>
        </w:rPr>
        <w:t>Develop actionable cadence and mediums (meetings, workshops, messaging, etc.) to maintain awareness and successfully achieve actions above.  Identify ambassadors to support knowledge management, system development, shared accountability, and continuous improvement among the various implementation networks.</w:t>
      </w:r>
    </w:p>
    <w:p w:rsidR="00F86C61" w:rsidRPr="00F86C61" w:rsidRDefault="00F86C61" w:rsidP="00F86C61">
      <w:pPr>
        <w:shd w:val="clear" w:color="auto" w:fill="FFFFFF"/>
        <w:spacing w:before="100" w:beforeAutospacing="1" w:after="100" w:afterAutospacing="1" w:line="270" w:lineRule="atLeast"/>
        <w:rPr>
          <w:rFonts w:eastAsia="Times New Roman" w:cs="Helvetica"/>
          <w:color w:val="3C3C3C"/>
        </w:rPr>
      </w:pPr>
      <w:r>
        <w:rPr>
          <w:rFonts w:eastAsia="Times New Roman" w:cs="Helvetica"/>
          <w:b/>
          <w:bCs/>
          <w:color w:val="595959"/>
        </w:rPr>
        <w:lastRenderedPageBreak/>
        <w:t>Requirements:</w:t>
      </w:r>
    </w:p>
    <w:p w:rsidR="00F86C61" w:rsidRPr="00F86C61" w:rsidRDefault="00F86C61" w:rsidP="00F86C61">
      <w:pPr>
        <w:numPr>
          <w:ilvl w:val="0"/>
          <w:numId w:val="5"/>
        </w:numPr>
        <w:shd w:val="clear" w:color="auto" w:fill="FFFFFF"/>
        <w:spacing w:before="100" w:beforeAutospacing="1" w:after="100" w:afterAutospacing="1" w:line="270" w:lineRule="atLeast"/>
        <w:ind w:left="0"/>
        <w:rPr>
          <w:rFonts w:eastAsia="Times New Roman" w:cs="Times New Roman"/>
        </w:rPr>
      </w:pPr>
      <w:r w:rsidRPr="00F86C61">
        <w:rPr>
          <w:rFonts w:eastAsia="Times New Roman" w:cs="Arial"/>
          <w:color w:val="3C3C3C"/>
        </w:rPr>
        <w:t>Bachelor’s degree in Law, Accounting, Finance or other business related area </w:t>
      </w:r>
      <w:r w:rsidRPr="00F86C61">
        <w:rPr>
          <w:rFonts w:eastAsia="Times New Roman" w:cs="Arial"/>
          <w:color w:val="3C3C3C"/>
          <w:u w:val="single"/>
        </w:rPr>
        <w:t>and</w:t>
      </w:r>
      <w:r w:rsidRPr="00F86C61">
        <w:rPr>
          <w:rFonts w:eastAsia="Times New Roman" w:cs="Arial"/>
          <w:color w:val="3C3C3C"/>
        </w:rPr>
        <w:t> </w:t>
      </w:r>
      <w:r w:rsidRPr="00F86C61">
        <w:rPr>
          <w:rFonts w:eastAsia="Times New Roman" w:cs="Arial"/>
          <w:color w:val="3C3C3C"/>
          <w:lang w:val="en-GB"/>
        </w:rPr>
        <w:t>JD.</w:t>
      </w:r>
    </w:p>
    <w:p w:rsidR="00F86C61" w:rsidRPr="00F86C61" w:rsidRDefault="00F86C61" w:rsidP="00F86C61">
      <w:pPr>
        <w:numPr>
          <w:ilvl w:val="0"/>
          <w:numId w:val="5"/>
        </w:numPr>
        <w:shd w:val="clear" w:color="auto" w:fill="FFFFFF"/>
        <w:spacing w:before="100" w:beforeAutospacing="1" w:after="100" w:afterAutospacing="1" w:line="270" w:lineRule="atLeast"/>
        <w:ind w:left="0"/>
        <w:rPr>
          <w:rFonts w:eastAsia="Times New Roman" w:cs="Helvetica"/>
          <w:color w:val="3C3C3C"/>
        </w:rPr>
      </w:pPr>
      <w:r w:rsidRPr="00F86C61">
        <w:rPr>
          <w:rFonts w:eastAsia="Times New Roman" w:cs="Arial"/>
          <w:color w:val="3C3C3C"/>
        </w:rPr>
        <w:t>5+ years of successful and relevant regulatory governance experience in Industry with export control, compliance, operational governance, and / or data privacy</w:t>
      </w:r>
    </w:p>
    <w:p w:rsidR="00F86C61" w:rsidRPr="00F86C61" w:rsidRDefault="00F86C61" w:rsidP="00F86C61">
      <w:pPr>
        <w:numPr>
          <w:ilvl w:val="0"/>
          <w:numId w:val="5"/>
        </w:numPr>
        <w:shd w:val="clear" w:color="auto" w:fill="FFFFFF"/>
        <w:spacing w:before="100" w:beforeAutospacing="1" w:after="100" w:afterAutospacing="1" w:line="270" w:lineRule="atLeast"/>
        <w:ind w:left="0"/>
        <w:rPr>
          <w:rFonts w:eastAsia="Times New Roman" w:cs="Helvetica"/>
          <w:color w:val="3C3C3C"/>
        </w:rPr>
      </w:pPr>
      <w:r w:rsidRPr="00F86C61">
        <w:rPr>
          <w:rFonts w:eastAsia="Times New Roman" w:cs="Arial"/>
          <w:color w:val="3C3C3C"/>
        </w:rPr>
        <w:t>Ability to create effective export control compliance programs, develop strategies, policies, procedures, training, audit concepts, and other risk management tools; assessing and advising on legal issues.</w:t>
      </w:r>
    </w:p>
    <w:p w:rsidR="00F86C61" w:rsidRPr="00F86C61" w:rsidRDefault="00F86C61" w:rsidP="00F86C61">
      <w:pPr>
        <w:numPr>
          <w:ilvl w:val="0"/>
          <w:numId w:val="5"/>
        </w:numPr>
        <w:shd w:val="clear" w:color="auto" w:fill="FFFFFF"/>
        <w:spacing w:before="100" w:beforeAutospacing="1" w:after="100" w:afterAutospacing="1" w:line="270" w:lineRule="atLeast"/>
        <w:ind w:left="0"/>
        <w:rPr>
          <w:rFonts w:eastAsia="Times New Roman" w:cs="Helvetica"/>
          <w:color w:val="3C3C3C"/>
        </w:rPr>
      </w:pPr>
      <w:r w:rsidRPr="00F86C61">
        <w:rPr>
          <w:rFonts w:eastAsia="Times New Roman" w:cs="Arial"/>
          <w:color w:val="3C3C3C"/>
        </w:rPr>
        <w:t>Strong knowledge of law, regulations and best practices with U.S. Export Control Regulations (EAR, ITAR, OFAC, NRC, DOE, etc.), export control classification and jurisdiction determination, and experience in Prior Disclosures and Regulatory Due Diligence.</w:t>
      </w:r>
    </w:p>
    <w:p w:rsidR="00F86C61" w:rsidRPr="00F86C61" w:rsidRDefault="00F86C61" w:rsidP="00F86C61">
      <w:pPr>
        <w:numPr>
          <w:ilvl w:val="0"/>
          <w:numId w:val="5"/>
        </w:numPr>
        <w:shd w:val="clear" w:color="auto" w:fill="FFFFFF"/>
        <w:spacing w:before="100" w:beforeAutospacing="1" w:after="100" w:afterAutospacing="1" w:line="270" w:lineRule="atLeast"/>
        <w:ind w:left="0"/>
        <w:rPr>
          <w:rFonts w:eastAsia="Times New Roman" w:cs="Helvetica"/>
          <w:color w:val="3C3C3C"/>
        </w:rPr>
      </w:pPr>
      <w:r w:rsidRPr="00F86C61">
        <w:rPr>
          <w:rFonts w:eastAsia="Times New Roman" w:cs="Arial"/>
          <w:color w:val="3C3C3C"/>
        </w:rPr>
        <w:t>Demonstrated thorough knowledge of business policy topics, practices and systems and applications.</w:t>
      </w:r>
    </w:p>
    <w:p w:rsidR="00F86C61" w:rsidRPr="00F86C61" w:rsidRDefault="00F86C61" w:rsidP="00F86C61">
      <w:pPr>
        <w:numPr>
          <w:ilvl w:val="0"/>
          <w:numId w:val="5"/>
        </w:numPr>
        <w:shd w:val="clear" w:color="auto" w:fill="FFFFFF"/>
        <w:spacing w:before="100" w:beforeAutospacing="1" w:after="100" w:afterAutospacing="1" w:line="270" w:lineRule="atLeast"/>
        <w:ind w:left="0"/>
        <w:rPr>
          <w:rFonts w:eastAsia="Times New Roman" w:cs="Helvetica"/>
          <w:color w:val="3C3C3C"/>
        </w:rPr>
      </w:pPr>
      <w:r w:rsidRPr="00F86C61">
        <w:rPr>
          <w:rFonts w:eastAsia="Times New Roman" w:cs="Arial"/>
          <w:color w:val="3C3C3C"/>
        </w:rPr>
        <w:t>Demonstrate exceptional project management skills, inspire teamwork and responsibility with engaged team members, and use current technology and tools to enhance the effectiveness and efficiency of services and deliverables.</w:t>
      </w:r>
    </w:p>
    <w:p w:rsidR="00F86C61" w:rsidRPr="00F86C61" w:rsidRDefault="00F86C61" w:rsidP="00F86C61">
      <w:pPr>
        <w:numPr>
          <w:ilvl w:val="0"/>
          <w:numId w:val="5"/>
        </w:numPr>
        <w:shd w:val="clear" w:color="auto" w:fill="FFFFFF"/>
        <w:spacing w:before="100" w:beforeAutospacing="1" w:after="100" w:afterAutospacing="1" w:line="270" w:lineRule="atLeast"/>
        <w:ind w:left="0"/>
        <w:rPr>
          <w:rFonts w:eastAsia="Times New Roman" w:cs="Helvetica"/>
          <w:color w:val="3C3C3C"/>
        </w:rPr>
      </w:pPr>
      <w:r w:rsidRPr="00F86C61">
        <w:rPr>
          <w:rFonts w:eastAsia="Times New Roman" w:cs="Arial"/>
          <w:color w:val="3C3C3C"/>
        </w:rPr>
        <w:t>Ability to collaborate with team and management, multi-task, initiate and adapt to change, work well under pressure, problem solve and accept challenging assignments.</w:t>
      </w:r>
    </w:p>
    <w:p w:rsidR="00F86C61" w:rsidRPr="00F86C61" w:rsidRDefault="00F86C61" w:rsidP="00F86C61">
      <w:pPr>
        <w:numPr>
          <w:ilvl w:val="0"/>
          <w:numId w:val="5"/>
        </w:numPr>
        <w:shd w:val="clear" w:color="auto" w:fill="FFFFFF"/>
        <w:spacing w:before="100" w:beforeAutospacing="1" w:after="100" w:afterAutospacing="1" w:line="270" w:lineRule="atLeast"/>
        <w:ind w:left="0"/>
        <w:rPr>
          <w:rFonts w:eastAsia="Times New Roman" w:cs="Helvetica"/>
          <w:color w:val="3C3C3C"/>
        </w:rPr>
      </w:pPr>
      <w:r w:rsidRPr="00F86C61">
        <w:rPr>
          <w:rFonts w:eastAsia="Times New Roman" w:cs="Arial"/>
          <w:color w:val="3C3C3C"/>
        </w:rPr>
        <w:t>Industry certifications as relevant to regulatory governance subject matter.</w:t>
      </w:r>
    </w:p>
    <w:p w:rsidR="00F86C61" w:rsidRPr="00F86C61" w:rsidRDefault="00F86C61" w:rsidP="00F86C61">
      <w:pPr>
        <w:shd w:val="clear" w:color="auto" w:fill="FFFFFF"/>
        <w:spacing w:after="0" w:line="270" w:lineRule="atLeast"/>
        <w:rPr>
          <w:rFonts w:eastAsia="Times New Roman" w:cs="Times New Roman"/>
          <w:color w:val="3C3C3C"/>
        </w:rPr>
      </w:pPr>
      <w:r w:rsidRPr="00F86C61">
        <w:rPr>
          <w:rFonts w:eastAsia="Times New Roman" w:cs="Arial"/>
          <w:color w:val="3C3C3C"/>
          <w:lang w:val="en-GB"/>
        </w:rPr>
        <w:t>Please apply on the OSRAM Careers page at </w:t>
      </w:r>
      <w:hyperlink r:id="rId5" w:history="1">
        <w:r w:rsidRPr="00F86C61">
          <w:rPr>
            <w:rFonts w:eastAsia="Times New Roman" w:cs="Arial"/>
            <w:color w:val="595959"/>
            <w:u w:val="single"/>
            <w:lang w:val="en-GB"/>
          </w:rPr>
          <w:t>www.osram.com/careers</w:t>
        </w:r>
      </w:hyperlink>
    </w:p>
    <w:p w:rsidR="00F86C61" w:rsidRPr="00F86C61" w:rsidRDefault="00F86C61" w:rsidP="00F86C61">
      <w:pPr>
        <w:shd w:val="clear" w:color="auto" w:fill="FFFFFF"/>
        <w:spacing w:after="0" w:line="240" w:lineRule="auto"/>
        <w:rPr>
          <w:rFonts w:eastAsia="Times New Roman" w:cs="Helvetica"/>
          <w:color w:val="3C3C3C"/>
        </w:rPr>
      </w:pPr>
      <w:r w:rsidRPr="00F86C61">
        <w:rPr>
          <w:rFonts w:eastAsia="Times New Roman" w:cs="Helvetica"/>
          <w:color w:val="3C3C3C"/>
          <w:bdr w:val="none" w:sz="0" w:space="0" w:color="auto" w:frame="1"/>
        </w:rPr>
        <w:t> </w:t>
      </w:r>
    </w:p>
    <w:p w:rsidR="00F86C61" w:rsidRPr="00F86C61" w:rsidRDefault="00F86C61" w:rsidP="00F86C61">
      <w:pPr>
        <w:shd w:val="clear" w:color="auto" w:fill="FFFFFF"/>
        <w:spacing w:after="0" w:line="240" w:lineRule="auto"/>
        <w:rPr>
          <w:rFonts w:eastAsia="Times New Roman" w:cs="Helvetica"/>
          <w:color w:val="3C3C3C"/>
        </w:rPr>
      </w:pPr>
      <w:r w:rsidRPr="00F86C61">
        <w:rPr>
          <w:rFonts w:eastAsia="Times New Roman" w:cs="Helvetica"/>
          <w:color w:val="3C3C3C"/>
        </w:rPr>
        <w:t>Interested in this position? If so, please apply online in our job portal. For further information, please contact Heather Lyons at h.lyons@osram.com.</w:t>
      </w:r>
    </w:p>
    <w:p w:rsidR="00F86C61" w:rsidRDefault="00F86C61" w:rsidP="00F86C61"/>
    <w:sectPr w:rsidR="00F86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33C5"/>
    <w:multiLevelType w:val="multilevel"/>
    <w:tmpl w:val="C7A215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911FDC"/>
    <w:multiLevelType w:val="multilevel"/>
    <w:tmpl w:val="C7A215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4035F2A"/>
    <w:multiLevelType w:val="multilevel"/>
    <w:tmpl w:val="2D7A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35356"/>
    <w:multiLevelType w:val="hybridMultilevel"/>
    <w:tmpl w:val="917CB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D941F3"/>
    <w:multiLevelType w:val="multilevel"/>
    <w:tmpl w:val="B686D7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540D2E00"/>
    <w:multiLevelType w:val="multilevel"/>
    <w:tmpl w:val="F17CEA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5FD77F50"/>
    <w:multiLevelType w:val="multilevel"/>
    <w:tmpl w:val="EAF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F4D24"/>
    <w:multiLevelType w:val="multilevel"/>
    <w:tmpl w:val="3E3C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2"/>
  </w:num>
  <w:num w:numId="4">
    <w:abstractNumId w:val="4"/>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C61"/>
    <w:rsid w:val="00C22757"/>
    <w:rsid w:val="00F86C61"/>
    <w:rsid w:val="00FB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5D4C3-D4AD-496E-9B17-A871E43F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044418">
      <w:bodyDiv w:val="1"/>
      <w:marLeft w:val="0"/>
      <w:marRight w:val="0"/>
      <w:marTop w:val="0"/>
      <w:marBottom w:val="0"/>
      <w:divBdr>
        <w:top w:val="none" w:sz="0" w:space="0" w:color="auto"/>
        <w:left w:val="none" w:sz="0" w:space="0" w:color="auto"/>
        <w:bottom w:val="none" w:sz="0" w:space="0" w:color="auto"/>
        <w:right w:val="none" w:sz="0" w:space="0" w:color="auto"/>
      </w:divBdr>
    </w:div>
    <w:div w:id="116590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sram.com/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OSRAM</Company>
  <LinksUpToDate>false</LinksUpToDate>
  <CharactersWithSpaces>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Heather</dc:creator>
  <cp:keywords/>
  <dc:description/>
  <cp:lastModifiedBy>Lyons, Heather</cp:lastModifiedBy>
  <cp:revision>1</cp:revision>
  <dcterms:created xsi:type="dcterms:W3CDTF">2017-08-21T17:44:00Z</dcterms:created>
  <dcterms:modified xsi:type="dcterms:W3CDTF">2017-08-21T17:49:00Z</dcterms:modified>
</cp:coreProperties>
</file>