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C5A" w:rsidRDefault="00694C5A">
      <w:pPr>
        <w:rPr>
          <w:rFonts w:ascii="Verdana" w:hAnsi="Verdana"/>
          <w:b/>
          <w:sz w:val="24"/>
          <w:szCs w:val="24"/>
        </w:rPr>
      </w:pPr>
      <w:r>
        <w:rPr>
          <w:rFonts w:ascii="Verdana" w:hAnsi="Verdana"/>
          <w:noProof/>
          <w:color w:val="006699"/>
          <w:sz w:val="14"/>
          <w:szCs w:val="14"/>
        </w:rPr>
        <w:drawing>
          <wp:inline distT="0" distB="0" distL="0" distR="0">
            <wp:extent cx="2533650" cy="609600"/>
            <wp:effectExtent l="0" t="0" r="0" b="0"/>
            <wp:docPr id="1" name="Picture 1" descr="Hom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Hom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0" cy="609600"/>
                    </a:xfrm>
                    <a:prstGeom prst="rect">
                      <a:avLst/>
                    </a:prstGeom>
                    <a:noFill/>
                    <a:ln>
                      <a:noFill/>
                    </a:ln>
                  </pic:spPr>
                </pic:pic>
              </a:graphicData>
            </a:graphic>
          </wp:inline>
        </w:drawing>
      </w:r>
    </w:p>
    <w:p w:rsidR="00694C5A" w:rsidRPr="00694C5A" w:rsidRDefault="00694C5A">
      <w:pPr>
        <w:rPr>
          <w:rFonts w:ascii="Verdana" w:hAnsi="Verdana"/>
          <w:b/>
          <w:sz w:val="24"/>
          <w:szCs w:val="24"/>
        </w:rPr>
      </w:pPr>
    </w:p>
    <w:p w:rsidR="00694C5A" w:rsidRPr="00694C5A" w:rsidRDefault="00694C5A">
      <w:pPr>
        <w:rPr>
          <w:rFonts w:ascii="Verdana" w:hAnsi="Verdana"/>
          <w:b/>
          <w:sz w:val="24"/>
          <w:szCs w:val="24"/>
        </w:rPr>
      </w:pPr>
      <w:r w:rsidRPr="00694C5A">
        <w:rPr>
          <w:rFonts w:ascii="Verdana" w:hAnsi="Verdana"/>
          <w:b/>
          <w:sz w:val="24"/>
          <w:szCs w:val="24"/>
        </w:rPr>
        <w:t>Sr. International Trade Compliance Specialist</w:t>
      </w:r>
      <w:r w:rsidRPr="00694C5A">
        <w:rPr>
          <w:rFonts w:ascii="Verdana" w:hAnsi="Verdana"/>
          <w:b/>
          <w:sz w:val="24"/>
          <w:szCs w:val="24"/>
        </w:rPr>
        <w:tab/>
        <w:t xml:space="preserve"> #101598BR</w:t>
      </w:r>
    </w:p>
    <w:tbl>
      <w:tblPr>
        <w:tblW w:w="0" w:type="auto"/>
        <w:tblCellMar>
          <w:top w:w="15" w:type="dxa"/>
          <w:left w:w="15" w:type="dxa"/>
          <w:bottom w:w="15" w:type="dxa"/>
          <w:right w:w="15" w:type="dxa"/>
        </w:tblCellMar>
        <w:tblLook w:val="04A0" w:firstRow="1" w:lastRow="0" w:firstColumn="1" w:lastColumn="0" w:noHBand="0" w:noVBand="1"/>
      </w:tblPr>
      <w:tblGrid>
        <w:gridCol w:w="1943"/>
      </w:tblGrid>
      <w:tr w:rsidR="00694C5A" w:rsidRPr="00694C5A" w:rsidTr="00694C5A">
        <w:tc>
          <w:tcPr>
            <w:tcW w:w="0" w:type="auto"/>
            <w:vAlign w:val="center"/>
            <w:hideMark/>
          </w:tcPr>
          <w:p w:rsidR="00694C5A" w:rsidRPr="00694C5A" w:rsidRDefault="00694C5A" w:rsidP="00694C5A">
            <w:pPr>
              <w:spacing w:after="0" w:line="360" w:lineRule="atLeast"/>
              <w:rPr>
                <w:rFonts w:ascii="Verdana" w:eastAsia="Times New Roman" w:hAnsi="Verdana" w:cs="Tahoma"/>
                <w:b/>
                <w:color w:val="333333"/>
              </w:rPr>
            </w:pPr>
            <w:r w:rsidRPr="00694C5A">
              <w:rPr>
                <w:rFonts w:ascii="Verdana" w:eastAsia="Times New Roman" w:hAnsi="Verdana" w:cs="Tahoma"/>
                <w:b/>
                <w:color w:val="333333"/>
              </w:rPr>
              <w:t>Job Description</w:t>
            </w:r>
          </w:p>
        </w:tc>
      </w:tr>
    </w:tbl>
    <w:p w:rsidR="00694C5A" w:rsidRPr="00694C5A" w:rsidRDefault="00694C5A" w:rsidP="00694C5A">
      <w:pPr>
        <w:spacing w:after="0" w:line="300" w:lineRule="atLeast"/>
        <w:rPr>
          <w:rFonts w:ascii="Verdana" w:eastAsia="Times New Roman" w:hAnsi="Verdana" w:cs="Tahoma"/>
          <w:vanish/>
          <w:color w:val="333333"/>
          <w:sz w:val="17"/>
          <w:szCs w:val="17"/>
        </w:rPr>
      </w:pPr>
    </w:p>
    <w:tbl>
      <w:tblPr>
        <w:tblW w:w="0" w:type="auto"/>
        <w:tblCellMar>
          <w:top w:w="15" w:type="dxa"/>
          <w:left w:w="15" w:type="dxa"/>
          <w:bottom w:w="15" w:type="dxa"/>
          <w:right w:w="15" w:type="dxa"/>
        </w:tblCellMar>
        <w:tblLook w:val="04A0" w:firstRow="1" w:lastRow="0" w:firstColumn="1" w:lastColumn="0" w:noHBand="0" w:noVBand="1"/>
      </w:tblPr>
      <w:tblGrid>
        <w:gridCol w:w="9390"/>
      </w:tblGrid>
      <w:tr w:rsidR="00694C5A" w:rsidRPr="00694C5A" w:rsidTr="00694C5A">
        <w:tc>
          <w:tcPr>
            <w:tcW w:w="0" w:type="auto"/>
            <w:vAlign w:val="center"/>
            <w:hideMark/>
          </w:tcPr>
          <w:p w:rsidR="00694C5A" w:rsidRPr="00694C5A" w:rsidRDefault="00694C5A" w:rsidP="00694C5A">
            <w:pPr>
              <w:tabs>
                <w:tab w:val="right" w:leader="underscore" w:pos="10440"/>
              </w:tabs>
              <w:spacing w:before="60" w:after="0" w:line="360" w:lineRule="atLeast"/>
              <w:rPr>
                <w:rFonts w:ascii="Times New Roman" w:eastAsia="Times New Roman" w:hAnsi="Times New Roman" w:cs="Times New Roman"/>
                <w:color w:val="333333"/>
                <w:sz w:val="24"/>
                <w:szCs w:val="24"/>
              </w:rPr>
            </w:pPr>
            <w:r w:rsidRPr="00694C5A">
              <w:rPr>
                <w:rFonts w:ascii="Tahoma" w:eastAsia="Times New Roman" w:hAnsi="Tahoma" w:cs="Tahoma"/>
                <w:noProof/>
                <w:color w:val="000000"/>
                <w:sz w:val="20"/>
                <w:szCs w:val="20"/>
              </w:rPr>
              <w:t>This position serves at the primary ITC point of contact in support of the San Marcos, TX site. As such, this position is responsible to carry on with all the Corporate and business unit ITC initiatives that affects the site; including but not limited to Self-Assessment, Investigations and Disclosures, SAP-GTS release support, Import and Export Training, application of ITC Policies and Procedures, etc. In addition, this role is also responsible for divisional functions in support of the following activities:</w:t>
            </w:r>
          </w:p>
          <w:p w:rsidR="00694C5A" w:rsidRPr="00694C5A" w:rsidRDefault="00694C5A" w:rsidP="00694C5A">
            <w:pPr>
              <w:tabs>
                <w:tab w:val="right" w:leader="underscore" w:pos="10440"/>
              </w:tabs>
              <w:spacing w:before="60" w:after="0" w:line="360" w:lineRule="atLeast"/>
              <w:rPr>
                <w:rFonts w:ascii="Times New Roman" w:eastAsia="Times New Roman" w:hAnsi="Times New Roman" w:cs="Times New Roman"/>
                <w:color w:val="333333"/>
                <w:sz w:val="24"/>
                <w:szCs w:val="24"/>
              </w:rPr>
            </w:pPr>
            <w:r w:rsidRPr="00694C5A">
              <w:rPr>
                <w:rFonts w:ascii="Tahoma" w:eastAsia="Times New Roman" w:hAnsi="Tahoma" w:cs="Tahoma"/>
                <w:noProof/>
                <w:color w:val="000000"/>
                <w:sz w:val="20"/>
                <w:szCs w:val="20"/>
              </w:rPr>
              <w:t>-Review technical specifications and meet with Subject Matter Experts to determine the HTSUS classification for the Aerostructures products and provide support harmonizing equivalency under other countries regulations. Update the corresponding databases as required.</w:t>
            </w:r>
          </w:p>
          <w:p w:rsidR="00694C5A" w:rsidRDefault="00694C5A" w:rsidP="00694C5A">
            <w:pPr>
              <w:spacing w:after="0" w:line="360" w:lineRule="atLeast"/>
              <w:rPr>
                <w:rFonts w:ascii="Tahoma" w:eastAsia="Times New Roman" w:hAnsi="Tahoma" w:cs="Tahoma"/>
                <w:noProof/>
                <w:color w:val="000000"/>
                <w:sz w:val="20"/>
                <w:szCs w:val="20"/>
              </w:rPr>
            </w:pPr>
            <w:r w:rsidRPr="00694C5A">
              <w:rPr>
                <w:rFonts w:ascii="Tahoma" w:eastAsia="Times New Roman" w:hAnsi="Tahoma" w:cs="Tahoma"/>
                <w:noProof/>
                <w:color w:val="000000"/>
                <w:sz w:val="20"/>
                <w:szCs w:val="20"/>
              </w:rPr>
              <w:t>-Acts as Subject Matter Expert (SME) for  HTSUS classifications and review and respond to CBPF-28s in a timely manner.</w:t>
            </w:r>
          </w:p>
          <w:p w:rsidR="00694C5A" w:rsidRPr="00694C5A" w:rsidRDefault="00694C5A" w:rsidP="00694C5A">
            <w:pPr>
              <w:spacing w:after="0" w:line="360" w:lineRule="atLeast"/>
              <w:rPr>
                <w:rFonts w:ascii="Verdana" w:eastAsia="Times New Roman" w:hAnsi="Verdana" w:cs="Tahoma"/>
                <w:color w:val="333333"/>
                <w:sz w:val="17"/>
                <w:szCs w:val="17"/>
              </w:rPr>
            </w:pPr>
          </w:p>
        </w:tc>
      </w:tr>
      <w:tr w:rsidR="00694C5A" w:rsidRPr="00694C5A" w:rsidTr="00694C5A">
        <w:tc>
          <w:tcPr>
            <w:tcW w:w="0" w:type="auto"/>
            <w:vAlign w:val="center"/>
            <w:hideMark/>
          </w:tcPr>
          <w:p w:rsidR="00694C5A" w:rsidRPr="00694C5A" w:rsidRDefault="00694C5A" w:rsidP="00694C5A">
            <w:pPr>
              <w:spacing w:after="0" w:line="360" w:lineRule="atLeast"/>
              <w:rPr>
                <w:rFonts w:ascii="Verdana" w:eastAsia="Times New Roman" w:hAnsi="Verdana" w:cs="Tahoma"/>
                <w:b/>
                <w:color w:val="333333"/>
              </w:rPr>
            </w:pPr>
            <w:r w:rsidRPr="00694C5A">
              <w:rPr>
                <w:rFonts w:ascii="Verdana" w:eastAsia="Times New Roman" w:hAnsi="Verdana" w:cs="Tahoma"/>
                <w:b/>
                <w:color w:val="333333"/>
              </w:rPr>
              <w:t>Education / Certifications</w:t>
            </w:r>
          </w:p>
        </w:tc>
      </w:tr>
    </w:tbl>
    <w:p w:rsidR="00694C5A" w:rsidRPr="00694C5A" w:rsidRDefault="00694C5A" w:rsidP="00694C5A">
      <w:pPr>
        <w:spacing w:after="0" w:line="300" w:lineRule="atLeast"/>
        <w:rPr>
          <w:rFonts w:ascii="Verdana" w:eastAsia="Times New Roman" w:hAnsi="Verdana" w:cs="Tahoma"/>
          <w:vanish/>
          <w:color w:val="333333"/>
          <w:sz w:val="17"/>
          <w:szCs w:val="17"/>
        </w:rPr>
      </w:pPr>
    </w:p>
    <w:tbl>
      <w:tblPr>
        <w:tblW w:w="0" w:type="auto"/>
        <w:tblCellMar>
          <w:top w:w="15" w:type="dxa"/>
          <w:left w:w="15" w:type="dxa"/>
          <w:bottom w:w="15" w:type="dxa"/>
          <w:right w:w="15" w:type="dxa"/>
        </w:tblCellMar>
        <w:tblLook w:val="04A0" w:firstRow="1" w:lastRow="0" w:firstColumn="1" w:lastColumn="0" w:noHBand="0" w:noVBand="1"/>
      </w:tblPr>
      <w:tblGrid>
        <w:gridCol w:w="9390"/>
      </w:tblGrid>
      <w:tr w:rsidR="00694C5A" w:rsidRPr="00694C5A" w:rsidTr="00694C5A">
        <w:tc>
          <w:tcPr>
            <w:tcW w:w="0" w:type="auto"/>
            <w:vAlign w:val="center"/>
            <w:hideMark/>
          </w:tcPr>
          <w:p w:rsidR="00694C5A" w:rsidRPr="00694C5A" w:rsidRDefault="00694C5A" w:rsidP="00694C5A">
            <w:pPr>
              <w:spacing w:after="0" w:line="360" w:lineRule="atLeast"/>
              <w:rPr>
                <w:rFonts w:ascii="Verdana" w:eastAsia="Times New Roman" w:hAnsi="Verdana" w:cs="Tahoma"/>
                <w:color w:val="333333"/>
                <w:sz w:val="17"/>
                <w:szCs w:val="17"/>
              </w:rPr>
            </w:pPr>
            <w:r w:rsidRPr="00694C5A">
              <w:rPr>
                <w:rFonts w:ascii="Tahoma" w:eastAsia="Times New Roman" w:hAnsi="Tahoma" w:cs="Tahoma"/>
                <w:color w:val="333333"/>
                <w:sz w:val="20"/>
                <w:szCs w:val="20"/>
              </w:rPr>
              <w:t>Bachelor’s Degree - 5+ years of experience with International Trade Compliance and familiar with the Code of Federal Regulations (Titles 15CFR, 19CFR and 22CFR)</w:t>
            </w:r>
            <w:r w:rsidRPr="00694C5A">
              <w:rPr>
                <w:rFonts w:ascii="Verdana" w:eastAsia="Times New Roman" w:hAnsi="Verdana" w:cs="Tahoma"/>
                <w:color w:val="333333"/>
                <w:sz w:val="17"/>
                <w:szCs w:val="17"/>
              </w:rPr>
              <w:br/>
              <w:t> </w:t>
            </w:r>
          </w:p>
        </w:tc>
      </w:tr>
    </w:tbl>
    <w:p w:rsidR="00694C5A" w:rsidRPr="00694C5A" w:rsidRDefault="00694C5A" w:rsidP="00694C5A">
      <w:pPr>
        <w:spacing w:after="0" w:line="300" w:lineRule="atLeast"/>
        <w:rPr>
          <w:rFonts w:ascii="Verdana" w:eastAsia="Times New Roman" w:hAnsi="Verdana" w:cs="Tahoma"/>
          <w:b/>
          <w:bCs/>
          <w:vanish/>
          <w:color w:val="333333"/>
          <w:sz w:val="17"/>
          <w:szCs w:val="17"/>
        </w:rPr>
      </w:pPr>
    </w:p>
    <w:tbl>
      <w:tblPr>
        <w:tblW w:w="0" w:type="auto"/>
        <w:tblCellMar>
          <w:top w:w="15" w:type="dxa"/>
          <w:left w:w="15" w:type="dxa"/>
          <w:bottom w:w="15" w:type="dxa"/>
          <w:right w:w="15" w:type="dxa"/>
        </w:tblCellMar>
        <w:tblLook w:val="04A0" w:firstRow="1" w:lastRow="0" w:firstColumn="1" w:lastColumn="0" w:noHBand="0" w:noVBand="1"/>
      </w:tblPr>
      <w:tblGrid>
        <w:gridCol w:w="3392"/>
      </w:tblGrid>
      <w:tr w:rsidR="00694C5A" w:rsidRPr="00694C5A" w:rsidTr="00694C5A">
        <w:tc>
          <w:tcPr>
            <w:tcW w:w="0" w:type="auto"/>
            <w:vAlign w:val="center"/>
            <w:hideMark/>
          </w:tcPr>
          <w:p w:rsidR="00694C5A" w:rsidRPr="00694C5A" w:rsidRDefault="00694C5A" w:rsidP="00694C5A">
            <w:pPr>
              <w:spacing w:after="0" w:line="360" w:lineRule="atLeast"/>
              <w:rPr>
                <w:rFonts w:ascii="Verdana" w:eastAsia="Times New Roman" w:hAnsi="Verdana" w:cs="Tahoma"/>
                <w:b/>
                <w:color w:val="333333"/>
              </w:rPr>
            </w:pPr>
            <w:r w:rsidRPr="00694C5A">
              <w:rPr>
                <w:rFonts w:ascii="Verdana" w:eastAsia="Times New Roman" w:hAnsi="Verdana" w:cs="Tahoma"/>
                <w:b/>
                <w:color w:val="333333"/>
              </w:rPr>
              <w:t>Experience / Qualifications</w:t>
            </w:r>
          </w:p>
        </w:tc>
      </w:tr>
    </w:tbl>
    <w:p w:rsidR="00694C5A" w:rsidRPr="00694C5A" w:rsidRDefault="00694C5A" w:rsidP="00694C5A">
      <w:pPr>
        <w:spacing w:after="0" w:line="300" w:lineRule="atLeast"/>
        <w:rPr>
          <w:rFonts w:ascii="Verdana" w:eastAsia="Times New Roman" w:hAnsi="Verdana" w:cs="Tahoma"/>
          <w:vanish/>
          <w:color w:val="333333"/>
          <w:sz w:val="17"/>
          <w:szCs w:val="17"/>
        </w:rPr>
      </w:pPr>
    </w:p>
    <w:tbl>
      <w:tblPr>
        <w:tblW w:w="0" w:type="auto"/>
        <w:tblCellMar>
          <w:top w:w="15" w:type="dxa"/>
          <w:left w:w="15" w:type="dxa"/>
          <w:bottom w:w="15" w:type="dxa"/>
          <w:right w:w="15" w:type="dxa"/>
        </w:tblCellMar>
        <w:tblLook w:val="04A0" w:firstRow="1" w:lastRow="0" w:firstColumn="1" w:lastColumn="0" w:noHBand="0" w:noVBand="1"/>
      </w:tblPr>
      <w:tblGrid>
        <w:gridCol w:w="9390"/>
      </w:tblGrid>
      <w:tr w:rsidR="00694C5A" w:rsidRPr="00694C5A" w:rsidTr="00694C5A">
        <w:tc>
          <w:tcPr>
            <w:tcW w:w="0" w:type="auto"/>
            <w:vAlign w:val="center"/>
            <w:hideMark/>
          </w:tcPr>
          <w:p w:rsidR="00694C5A" w:rsidRPr="00694C5A" w:rsidRDefault="00694C5A" w:rsidP="00694C5A">
            <w:pPr>
              <w:spacing w:after="0" w:line="360" w:lineRule="atLeast"/>
              <w:rPr>
                <w:rFonts w:ascii="Tahoma" w:eastAsia="Times New Roman" w:hAnsi="Tahoma" w:cs="Tahoma"/>
                <w:color w:val="333333"/>
                <w:sz w:val="20"/>
                <w:szCs w:val="20"/>
              </w:rPr>
            </w:pPr>
            <w:r w:rsidRPr="00694C5A">
              <w:rPr>
                <w:rFonts w:ascii="Verdana" w:eastAsia="Times New Roman" w:hAnsi="Verdana" w:cs="Tahoma"/>
                <w:color w:val="333333"/>
                <w:sz w:val="20"/>
                <w:szCs w:val="20"/>
              </w:rPr>
              <w:t>Proficient with HTSUS classifications</w:t>
            </w:r>
            <w:r w:rsidRPr="00694C5A">
              <w:rPr>
                <w:rFonts w:ascii="Verdana" w:eastAsia="Times New Roman" w:hAnsi="Verdana" w:cs="Tahoma"/>
                <w:color w:val="333333"/>
                <w:sz w:val="20"/>
                <w:szCs w:val="20"/>
              </w:rPr>
              <w:br/>
            </w:r>
            <w:r w:rsidRPr="00694C5A">
              <w:rPr>
                <w:rFonts w:ascii="Tahoma" w:eastAsia="Times New Roman" w:hAnsi="Tahoma" w:cs="Tahoma"/>
                <w:color w:val="333333"/>
                <w:sz w:val="20"/>
                <w:szCs w:val="20"/>
              </w:rPr>
              <w:t>Effective written and verbal communication skills</w:t>
            </w:r>
            <w:r w:rsidRPr="00694C5A">
              <w:rPr>
                <w:rFonts w:ascii="Verdana" w:eastAsia="Times New Roman" w:hAnsi="Verdana" w:cs="Tahoma"/>
                <w:color w:val="333333"/>
                <w:sz w:val="17"/>
                <w:szCs w:val="17"/>
              </w:rPr>
              <w:br/>
            </w:r>
            <w:r w:rsidRPr="00694C5A">
              <w:rPr>
                <w:rFonts w:ascii="Tahoma" w:eastAsia="Times New Roman" w:hAnsi="Tahoma" w:cs="Tahoma"/>
                <w:color w:val="333333"/>
                <w:sz w:val="20"/>
                <w:szCs w:val="20"/>
              </w:rPr>
              <w:t>Experience in the Aerospace industry, a plus</w:t>
            </w:r>
            <w:r w:rsidRPr="00694C5A">
              <w:rPr>
                <w:rFonts w:ascii="Verdana" w:eastAsia="Times New Roman" w:hAnsi="Verdana" w:cs="Tahoma"/>
                <w:color w:val="333333"/>
                <w:sz w:val="17"/>
                <w:szCs w:val="17"/>
              </w:rPr>
              <w:br/>
            </w:r>
            <w:r w:rsidRPr="00694C5A">
              <w:rPr>
                <w:rFonts w:ascii="Tahoma" w:eastAsia="Times New Roman" w:hAnsi="Tahoma" w:cs="Tahoma"/>
                <w:color w:val="333333"/>
                <w:sz w:val="20"/>
                <w:szCs w:val="20"/>
              </w:rPr>
              <w:t>Customs House Brokers (CHB) License, a plus</w:t>
            </w:r>
            <w:r w:rsidRPr="00694C5A">
              <w:rPr>
                <w:rFonts w:ascii="Verdana" w:eastAsia="Times New Roman" w:hAnsi="Verdana" w:cs="Tahoma"/>
                <w:color w:val="333333"/>
                <w:sz w:val="17"/>
                <w:szCs w:val="17"/>
              </w:rPr>
              <w:br/>
            </w:r>
            <w:r w:rsidRPr="00694C5A">
              <w:rPr>
                <w:rFonts w:ascii="Tahoma" w:eastAsia="Times New Roman" w:hAnsi="Tahoma" w:cs="Tahoma"/>
                <w:color w:val="333333"/>
                <w:sz w:val="20"/>
                <w:szCs w:val="20"/>
              </w:rPr>
              <w:t xml:space="preserve">Familiar with relevant systems/applications (i.e. SAP, </w:t>
            </w:r>
            <w:proofErr w:type="spellStart"/>
            <w:r w:rsidRPr="00694C5A">
              <w:rPr>
                <w:rFonts w:ascii="Tahoma" w:eastAsia="Times New Roman" w:hAnsi="Tahoma" w:cs="Tahoma"/>
                <w:color w:val="333333"/>
                <w:sz w:val="20"/>
                <w:szCs w:val="20"/>
              </w:rPr>
              <w:t>Teamcenter</w:t>
            </w:r>
            <w:proofErr w:type="spellEnd"/>
            <w:r w:rsidRPr="00694C5A">
              <w:rPr>
                <w:rFonts w:ascii="Tahoma" w:eastAsia="Times New Roman" w:hAnsi="Tahoma" w:cs="Tahoma"/>
                <w:color w:val="333333"/>
                <w:sz w:val="20"/>
                <w:szCs w:val="20"/>
              </w:rPr>
              <w:t xml:space="preserve">, </w:t>
            </w:r>
            <w:proofErr w:type="spellStart"/>
            <w:r w:rsidRPr="00694C5A">
              <w:rPr>
                <w:rFonts w:ascii="Tahoma" w:eastAsia="Times New Roman" w:hAnsi="Tahoma" w:cs="Tahoma"/>
                <w:color w:val="333333"/>
                <w:sz w:val="20"/>
                <w:szCs w:val="20"/>
              </w:rPr>
              <w:t>Catia</w:t>
            </w:r>
            <w:proofErr w:type="spellEnd"/>
            <w:r w:rsidRPr="00694C5A">
              <w:rPr>
                <w:rFonts w:ascii="Tahoma" w:eastAsia="Times New Roman" w:hAnsi="Tahoma" w:cs="Tahoma"/>
                <w:color w:val="333333"/>
                <w:sz w:val="20"/>
                <w:szCs w:val="20"/>
              </w:rPr>
              <w:t xml:space="preserve"> or other blueprint reading software)</w:t>
            </w:r>
            <w:bookmarkStart w:id="0" w:name="_GoBack"/>
            <w:bookmarkEnd w:id="0"/>
          </w:p>
        </w:tc>
      </w:tr>
      <w:tr w:rsidR="00694C5A" w:rsidRPr="00694C5A" w:rsidTr="00694C5A">
        <w:tc>
          <w:tcPr>
            <w:tcW w:w="0" w:type="auto"/>
            <w:vAlign w:val="center"/>
            <w:hideMark/>
          </w:tcPr>
          <w:p w:rsidR="00694C5A" w:rsidRPr="00694C5A" w:rsidRDefault="00694C5A" w:rsidP="00694C5A">
            <w:pPr>
              <w:spacing w:after="0" w:line="360" w:lineRule="atLeast"/>
              <w:rPr>
                <w:rFonts w:ascii="Verdana" w:eastAsia="Times New Roman" w:hAnsi="Verdana" w:cs="Tahoma"/>
                <w:color w:val="333333"/>
                <w:sz w:val="17"/>
                <w:szCs w:val="17"/>
              </w:rPr>
            </w:pPr>
            <w:r w:rsidRPr="00694C5A">
              <w:rPr>
                <w:rFonts w:ascii="Verdana" w:eastAsia="Times New Roman" w:hAnsi="Verdana" w:cs="Tahoma"/>
                <w:b/>
                <w:color w:val="333333"/>
                <w:sz w:val="17"/>
                <w:szCs w:val="17"/>
              </w:rPr>
              <w:t>EEO/AAP Statement</w:t>
            </w:r>
          </w:p>
        </w:tc>
      </w:tr>
    </w:tbl>
    <w:p w:rsidR="00694C5A" w:rsidRPr="00694C5A" w:rsidRDefault="00694C5A" w:rsidP="00694C5A">
      <w:pPr>
        <w:spacing w:after="0" w:line="300" w:lineRule="atLeast"/>
        <w:rPr>
          <w:rFonts w:ascii="Verdana" w:eastAsia="Times New Roman" w:hAnsi="Verdana" w:cs="Tahoma"/>
          <w:vanish/>
          <w:color w:val="333333"/>
          <w:sz w:val="17"/>
          <w:szCs w:val="17"/>
        </w:rPr>
      </w:pPr>
    </w:p>
    <w:tbl>
      <w:tblPr>
        <w:tblW w:w="0" w:type="auto"/>
        <w:tblCellMar>
          <w:top w:w="15" w:type="dxa"/>
          <w:left w:w="15" w:type="dxa"/>
          <w:bottom w:w="15" w:type="dxa"/>
          <w:right w:w="15" w:type="dxa"/>
        </w:tblCellMar>
        <w:tblLook w:val="04A0" w:firstRow="1" w:lastRow="0" w:firstColumn="1" w:lastColumn="0" w:noHBand="0" w:noVBand="1"/>
      </w:tblPr>
      <w:tblGrid>
        <w:gridCol w:w="9390"/>
      </w:tblGrid>
      <w:tr w:rsidR="00694C5A" w:rsidRPr="00694C5A" w:rsidTr="00694C5A">
        <w:tc>
          <w:tcPr>
            <w:tcW w:w="0" w:type="auto"/>
            <w:vAlign w:val="center"/>
            <w:hideMark/>
          </w:tcPr>
          <w:p w:rsidR="00694C5A" w:rsidRPr="00694C5A" w:rsidRDefault="00694C5A" w:rsidP="00694C5A">
            <w:pPr>
              <w:spacing w:after="0" w:line="360" w:lineRule="atLeast"/>
              <w:rPr>
                <w:rFonts w:ascii="Verdana" w:eastAsia="Times New Roman" w:hAnsi="Verdana" w:cs="Tahoma"/>
                <w:color w:val="333333"/>
                <w:sz w:val="17"/>
                <w:szCs w:val="17"/>
              </w:rPr>
            </w:pPr>
            <w:r w:rsidRPr="00694C5A">
              <w:rPr>
                <w:rFonts w:ascii="Verdana" w:eastAsia="Times New Roman" w:hAnsi="Verdana" w:cs="Tahoma"/>
                <w:color w:val="333333"/>
                <w:sz w:val="17"/>
                <w:szCs w:val="17"/>
              </w:rPr>
              <w:t>United Technologies Corporation is An Equal Opportunity/Affirmative Action Employer.  All qualified applicants will receive consideration for employment without regard to race, color, religion, sex, sexual orientation, gender identity, national origin, disability or veteran status.</w:t>
            </w:r>
          </w:p>
        </w:tc>
      </w:tr>
    </w:tbl>
    <w:p w:rsidR="00F70F0A" w:rsidRDefault="00F70F0A" w:rsidP="00694C5A"/>
    <w:sectPr w:rsidR="00F70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C5A"/>
    <w:rsid w:val="00694C5A"/>
    <w:rsid w:val="00F70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label1">
    <w:name w:val="questionlabel1"/>
    <w:basedOn w:val="DefaultParagraphFont"/>
    <w:rsid w:val="00694C5A"/>
    <w:rPr>
      <w:b/>
      <w:bCs/>
    </w:rPr>
  </w:style>
  <w:style w:type="character" w:customStyle="1" w:styleId="questioninput35">
    <w:name w:val="questioninput35"/>
    <w:basedOn w:val="DefaultParagraphFont"/>
    <w:rsid w:val="00694C5A"/>
  </w:style>
  <w:style w:type="character" w:customStyle="1" w:styleId="required1">
    <w:name w:val="required1"/>
    <w:basedOn w:val="DefaultParagraphFont"/>
    <w:rsid w:val="00694C5A"/>
    <w:rPr>
      <w:b/>
      <w:bCs/>
      <w:color w:val="FF0000"/>
    </w:rPr>
  </w:style>
  <w:style w:type="paragraph" w:styleId="BalloonText">
    <w:name w:val="Balloon Text"/>
    <w:basedOn w:val="Normal"/>
    <w:link w:val="BalloonTextChar"/>
    <w:uiPriority w:val="99"/>
    <w:semiHidden/>
    <w:unhideWhenUsed/>
    <w:rsid w:val="00694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C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label1">
    <w:name w:val="questionlabel1"/>
    <w:basedOn w:val="DefaultParagraphFont"/>
    <w:rsid w:val="00694C5A"/>
    <w:rPr>
      <w:b/>
      <w:bCs/>
    </w:rPr>
  </w:style>
  <w:style w:type="character" w:customStyle="1" w:styleId="questioninput35">
    <w:name w:val="questioninput35"/>
    <w:basedOn w:val="DefaultParagraphFont"/>
    <w:rsid w:val="00694C5A"/>
  </w:style>
  <w:style w:type="character" w:customStyle="1" w:styleId="required1">
    <w:name w:val="required1"/>
    <w:basedOn w:val="DefaultParagraphFont"/>
    <w:rsid w:val="00694C5A"/>
    <w:rPr>
      <w:b/>
      <w:bCs/>
      <w:color w:val="FF0000"/>
    </w:rPr>
  </w:style>
  <w:style w:type="paragraph" w:styleId="BalloonText">
    <w:name w:val="Balloon Text"/>
    <w:basedOn w:val="Normal"/>
    <w:link w:val="BalloonTextChar"/>
    <w:uiPriority w:val="99"/>
    <w:semiHidden/>
    <w:unhideWhenUsed/>
    <w:rsid w:val="00694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C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47268">
      <w:bodyDiv w:val="1"/>
      <w:marLeft w:val="0"/>
      <w:marRight w:val="0"/>
      <w:marTop w:val="0"/>
      <w:marBottom w:val="0"/>
      <w:divBdr>
        <w:top w:val="none" w:sz="0" w:space="0" w:color="333333"/>
        <w:left w:val="none" w:sz="0" w:space="0" w:color="333333"/>
        <w:bottom w:val="none" w:sz="0" w:space="0" w:color="333333"/>
        <w:right w:val="none" w:sz="0" w:space="0" w:color="333333"/>
      </w:divBdr>
      <w:divsChild>
        <w:div w:id="464128985">
          <w:marLeft w:val="0"/>
          <w:marRight w:val="0"/>
          <w:marTop w:val="0"/>
          <w:marBottom w:val="0"/>
          <w:divBdr>
            <w:top w:val="none" w:sz="0" w:space="0" w:color="auto"/>
            <w:left w:val="none" w:sz="0" w:space="0" w:color="auto"/>
            <w:bottom w:val="none" w:sz="0" w:space="0" w:color="auto"/>
            <w:right w:val="none" w:sz="0" w:space="0" w:color="auto"/>
          </w:divBdr>
          <w:divsChild>
            <w:div w:id="1863784757">
              <w:marLeft w:val="0"/>
              <w:marRight w:val="0"/>
              <w:marTop w:val="0"/>
              <w:marBottom w:val="0"/>
              <w:divBdr>
                <w:top w:val="none" w:sz="0" w:space="0" w:color="auto"/>
                <w:left w:val="none" w:sz="0" w:space="0" w:color="auto"/>
                <w:bottom w:val="none" w:sz="0" w:space="0" w:color="auto"/>
                <w:right w:val="none" w:sz="0" w:space="0" w:color="auto"/>
              </w:divBdr>
              <w:divsChild>
                <w:div w:id="336277303">
                  <w:marLeft w:val="0"/>
                  <w:marRight w:val="0"/>
                  <w:marTop w:val="0"/>
                  <w:marBottom w:val="0"/>
                  <w:divBdr>
                    <w:top w:val="none" w:sz="0" w:space="0" w:color="auto"/>
                    <w:left w:val="none" w:sz="0" w:space="0" w:color="auto"/>
                    <w:bottom w:val="none" w:sz="0" w:space="0" w:color="auto"/>
                    <w:right w:val="none" w:sz="0" w:space="0" w:color="auto"/>
                  </w:divBdr>
                  <w:divsChild>
                    <w:div w:id="39597287">
                      <w:marLeft w:val="0"/>
                      <w:marRight w:val="0"/>
                      <w:marTop w:val="0"/>
                      <w:marBottom w:val="0"/>
                      <w:divBdr>
                        <w:top w:val="none" w:sz="0" w:space="0" w:color="auto"/>
                        <w:left w:val="none" w:sz="0" w:space="0" w:color="auto"/>
                        <w:bottom w:val="none" w:sz="0" w:space="0" w:color="auto"/>
                        <w:right w:val="none" w:sz="0" w:space="0" w:color="auto"/>
                      </w:divBdr>
                      <w:divsChild>
                        <w:div w:id="425227325">
                          <w:marLeft w:val="0"/>
                          <w:marRight w:val="0"/>
                          <w:marTop w:val="0"/>
                          <w:marBottom w:val="0"/>
                          <w:divBdr>
                            <w:top w:val="none" w:sz="0" w:space="0" w:color="auto"/>
                            <w:left w:val="none" w:sz="0" w:space="0" w:color="auto"/>
                            <w:bottom w:val="none" w:sz="0" w:space="0" w:color="auto"/>
                            <w:right w:val="none" w:sz="0" w:space="0" w:color="auto"/>
                          </w:divBdr>
                          <w:divsChild>
                            <w:div w:id="2036735863">
                              <w:marLeft w:val="0"/>
                              <w:marRight w:val="0"/>
                              <w:marTop w:val="0"/>
                              <w:marBottom w:val="0"/>
                              <w:divBdr>
                                <w:top w:val="none" w:sz="0" w:space="0" w:color="auto"/>
                                <w:left w:val="none" w:sz="0" w:space="0" w:color="auto"/>
                                <w:bottom w:val="none" w:sz="0" w:space="0" w:color="auto"/>
                                <w:right w:val="none" w:sz="0" w:space="0" w:color="auto"/>
                              </w:divBdr>
                              <w:divsChild>
                                <w:div w:id="2091268540">
                                  <w:marLeft w:val="0"/>
                                  <w:marRight w:val="0"/>
                                  <w:marTop w:val="0"/>
                                  <w:marBottom w:val="0"/>
                                  <w:divBdr>
                                    <w:top w:val="none" w:sz="0" w:space="0" w:color="auto"/>
                                    <w:left w:val="none" w:sz="0" w:space="0" w:color="auto"/>
                                    <w:bottom w:val="none" w:sz="0" w:space="0" w:color="auto"/>
                                    <w:right w:val="none" w:sz="0" w:space="0" w:color="auto"/>
                                  </w:divBdr>
                                  <w:divsChild>
                                    <w:div w:id="154154832">
                                      <w:marLeft w:val="0"/>
                                      <w:marRight w:val="0"/>
                                      <w:marTop w:val="0"/>
                                      <w:marBottom w:val="0"/>
                                      <w:divBdr>
                                        <w:top w:val="none" w:sz="0" w:space="0" w:color="333333"/>
                                        <w:left w:val="none" w:sz="0" w:space="0" w:color="333333"/>
                                        <w:bottom w:val="none" w:sz="0" w:space="0" w:color="333333"/>
                                        <w:right w:val="none" w:sz="0" w:space="0" w:color="333333"/>
                                      </w:divBdr>
                                    </w:div>
                                    <w:div w:id="802385004">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myutas.utc.com/Pages/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242</Words>
  <Characters>1532</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Goodrich Corporation</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Priscilla        UTAS</dc:creator>
  <cp:keywords>Non Technical</cp:keywords>
  <cp:lastModifiedBy>Martinez, Priscilla        UTAS</cp:lastModifiedBy>
  <cp:revision>1</cp:revision>
  <dcterms:created xsi:type="dcterms:W3CDTF">2015-09-30T21:45:00Z</dcterms:created>
  <dcterms:modified xsi:type="dcterms:W3CDTF">2015-09-30T21:53:00Z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e4c064c3-8996-474b-8228-47c1b3df7911</vt:lpwstr>
  </property>
  <property fmtid="{D5CDD505-2E9C-101B-9397-08002B2CF9AE}" pid="3" name="UTCTechnicalData">
    <vt:lpwstr>No</vt:lpwstr>
  </property>
  <property fmtid="{D5CDD505-2E9C-101B-9397-08002B2CF9AE}" pid="4" name="UTCTechnicalDataKeyword">
    <vt:lpwstr>Non Technical</vt:lpwstr>
  </property>
</Properties>
</file>