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00" w:type="pct"/>
        <w:jc w:val="center"/>
        <w:tblCellSpacing w:w="0" w:type="dxa"/>
        <w:tblCellMar>
          <w:top w:w="36" w:type="dxa"/>
          <w:left w:w="36" w:type="dxa"/>
          <w:bottom w:w="36" w:type="dxa"/>
          <w:right w:w="36" w:type="dxa"/>
        </w:tblCellMar>
        <w:tblLook w:val="04A0" w:firstRow="1" w:lastRow="0" w:firstColumn="1" w:lastColumn="0" w:noHBand="0" w:noVBand="1"/>
      </w:tblPr>
      <w:tblGrid>
        <w:gridCol w:w="1735"/>
        <w:gridCol w:w="6942"/>
      </w:tblGrid>
      <w:tr w:rsidR="001D30B6" w:rsidRPr="001D30B6">
        <w:trPr>
          <w:tblCellSpacing w:w="0" w:type="dxa"/>
          <w:jc w:val="center"/>
        </w:trPr>
        <w:tc>
          <w:tcPr>
            <w:tcW w:w="0" w:type="auto"/>
            <w:hideMark/>
          </w:tcPr>
          <w:p w:rsidR="001D30B6" w:rsidRPr="001D30B6" w:rsidRDefault="001D30B6" w:rsidP="001D30B6">
            <w:pPr>
              <w:spacing w:after="0" w:line="240" w:lineRule="auto"/>
              <w:rPr>
                <w:rFonts w:ascii="Verdana" w:eastAsia="Times New Roman" w:hAnsi="Verdana"/>
                <w:sz w:val="24"/>
                <w:szCs w:val="24"/>
              </w:rPr>
            </w:pPr>
            <w:bookmarkStart w:id="0" w:name="_GoBack"/>
            <w:bookmarkEnd w:id="0"/>
            <w:r w:rsidRPr="001D30B6">
              <w:rPr>
                <w:rFonts w:ascii="Verdana" w:eastAsia="Times New Roman" w:hAnsi="Verdana"/>
                <w:b/>
                <w:bCs/>
                <w:sz w:val="19"/>
                <w:szCs w:val="19"/>
              </w:rPr>
              <w:t>Company Name</w:t>
            </w:r>
          </w:p>
        </w:tc>
        <w:tc>
          <w:tcPr>
            <w:tcW w:w="4000" w:type="pct"/>
            <w:vAlign w:val="center"/>
            <w:hideMark/>
          </w:tcPr>
          <w:p w:rsidR="001D30B6" w:rsidRPr="001D30B6" w:rsidRDefault="001D30B6" w:rsidP="0034124B">
            <w:pPr>
              <w:spacing w:after="0" w:line="240" w:lineRule="auto"/>
              <w:rPr>
                <w:rFonts w:ascii="Verdana" w:eastAsia="Times New Roman" w:hAnsi="Verdana"/>
                <w:sz w:val="24"/>
                <w:szCs w:val="24"/>
              </w:rPr>
            </w:pPr>
            <w:r w:rsidRPr="001D30B6">
              <w:rPr>
                <w:rFonts w:ascii="Verdana" w:eastAsia="Times New Roman" w:hAnsi="Verdana"/>
                <w:sz w:val="17"/>
                <w:szCs w:val="17"/>
              </w:rPr>
              <w:t>Altria Imp</w:t>
            </w:r>
            <w:r w:rsidR="0034124B">
              <w:rPr>
                <w:rFonts w:ascii="Verdana" w:eastAsia="Times New Roman" w:hAnsi="Verdana"/>
                <w:sz w:val="17"/>
                <w:szCs w:val="17"/>
              </w:rPr>
              <w:t xml:space="preserve">ort </w:t>
            </w:r>
            <w:r w:rsidRPr="001D30B6">
              <w:rPr>
                <w:rFonts w:ascii="Verdana" w:eastAsia="Times New Roman" w:hAnsi="Verdana"/>
                <w:sz w:val="17"/>
                <w:szCs w:val="17"/>
              </w:rPr>
              <w:t>Exp</w:t>
            </w:r>
            <w:r w:rsidR="0034124B">
              <w:rPr>
                <w:rFonts w:ascii="Verdana" w:eastAsia="Times New Roman" w:hAnsi="Verdana"/>
                <w:sz w:val="17"/>
                <w:szCs w:val="17"/>
              </w:rPr>
              <w:t xml:space="preserve">ort </w:t>
            </w:r>
            <w:r w:rsidRPr="001D30B6">
              <w:rPr>
                <w:rFonts w:ascii="Verdana" w:eastAsia="Times New Roman" w:hAnsi="Verdana"/>
                <w:sz w:val="17"/>
                <w:szCs w:val="17"/>
              </w:rPr>
              <w:t>S</w:t>
            </w:r>
            <w:r w:rsidR="0034124B">
              <w:rPr>
                <w:rFonts w:ascii="Verdana" w:eastAsia="Times New Roman" w:hAnsi="Verdana"/>
                <w:sz w:val="17"/>
                <w:szCs w:val="17"/>
              </w:rPr>
              <w:t>ervices</w:t>
            </w:r>
            <w:r w:rsidRPr="001D30B6">
              <w:rPr>
                <w:rFonts w:ascii="Verdana" w:eastAsia="Times New Roman" w:hAnsi="Verdana"/>
                <w:sz w:val="17"/>
                <w:szCs w:val="17"/>
              </w:rPr>
              <w:t xml:space="preserve"> LLC</w:t>
            </w:r>
          </w:p>
        </w:tc>
      </w:tr>
      <w:tr w:rsidR="001D30B6" w:rsidRPr="001D30B6">
        <w:trPr>
          <w:tblCellSpacing w:w="0" w:type="dxa"/>
          <w:jc w:val="center"/>
        </w:trPr>
        <w:tc>
          <w:tcPr>
            <w:tcW w:w="0" w:type="auto"/>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b/>
                <w:bCs/>
                <w:sz w:val="19"/>
                <w:szCs w:val="19"/>
              </w:rPr>
              <w:t>Position Title</w:t>
            </w:r>
          </w:p>
        </w:tc>
        <w:tc>
          <w:tcPr>
            <w:tcW w:w="4000" w:type="pct"/>
            <w:vAlign w:val="center"/>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sz w:val="17"/>
                <w:szCs w:val="17"/>
              </w:rPr>
              <w:t>Senior Analyst - Import/Export Services</w:t>
            </w:r>
          </w:p>
        </w:tc>
      </w:tr>
      <w:tr w:rsidR="001D30B6" w:rsidRPr="001D30B6">
        <w:trPr>
          <w:tblCellSpacing w:w="0" w:type="dxa"/>
          <w:jc w:val="center"/>
        </w:trPr>
        <w:tc>
          <w:tcPr>
            <w:tcW w:w="0" w:type="auto"/>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b/>
                <w:bCs/>
                <w:sz w:val="19"/>
                <w:szCs w:val="19"/>
              </w:rPr>
              <w:t>Sub-Function</w:t>
            </w:r>
          </w:p>
        </w:tc>
        <w:tc>
          <w:tcPr>
            <w:tcW w:w="4000" w:type="pct"/>
            <w:vAlign w:val="center"/>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sz w:val="17"/>
                <w:szCs w:val="17"/>
              </w:rPr>
              <w:t>Procurement</w:t>
            </w:r>
          </w:p>
        </w:tc>
      </w:tr>
      <w:tr w:rsidR="001D30B6" w:rsidRPr="001D30B6">
        <w:trPr>
          <w:tblCellSpacing w:w="0" w:type="dxa"/>
          <w:jc w:val="center"/>
        </w:trPr>
        <w:tc>
          <w:tcPr>
            <w:tcW w:w="0" w:type="auto"/>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b/>
                <w:bCs/>
                <w:sz w:val="19"/>
                <w:szCs w:val="19"/>
              </w:rPr>
              <w:t>Discipline</w:t>
            </w:r>
          </w:p>
        </w:tc>
        <w:tc>
          <w:tcPr>
            <w:tcW w:w="4000" w:type="pct"/>
            <w:vAlign w:val="center"/>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sz w:val="17"/>
                <w:szCs w:val="17"/>
              </w:rPr>
              <w:t>Purchasing</w:t>
            </w:r>
          </w:p>
        </w:tc>
      </w:tr>
      <w:tr w:rsidR="001D30B6" w:rsidRPr="001D30B6">
        <w:trPr>
          <w:tblCellSpacing w:w="0" w:type="dxa"/>
          <w:jc w:val="center"/>
        </w:trPr>
        <w:tc>
          <w:tcPr>
            <w:tcW w:w="0" w:type="auto"/>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b/>
                <w:bCs/>
                <w:sz w:val="19"/>
                <w:szCs w:val="19"/>
              </w:rPr>
              <w:t>City</w:t>
            </w:r>
          </w:p>
        </w:tc>
        <w:tc>
          <w:tcPr>
            <w:tcW w:w="4000" w:type="pct"/>
            <w:vAlign w:val="center"/>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sz w:val="17"/>
                <w:szCs w:val="17"/>
              </w:rPr>
              <w:t>Richmond</w:t>
            </w:r>
          </w:p>
        </w:tc>
      </w:tr>
      <w:tr w:rsidR="001D30B6" w:rsidRPr="001D30B6">
        <w:trPr>
          <w:tblCellSpacing w:w="0" w:type="dxa"/>
          <w:jc w:val="center"/>
        </w:trPr>
        <w:tc>
          <w:tcPr>
            <w:tcW w:w="0" w:type="auto"/>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b/>
                <w:bCs/>
                <w:sz w:val="19"/>
                <w:szCs w:val="19"/>
              </w:rPr>
              <w:t>State</w:t>
            </w:r>
          </w:p>
        </w:tc>
        <w:tc>
          <w:tcPr>
            <w:tcW w:w="4000" w:type="pct"/>
            <w:vAlign w:val="center"/>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sz w:val="17"/>
                <w:szCs w:val="17"/>
              </w:rPr>
              <w:t>Virginia</w:t>
            </w:r>
          </w:p>
        </w:tc>
      </w:tr>
      <w:tr w:rsidR="001D30B6" w:rsidRPr="001D30B6">
        <w:trPr>
          <w:tblCellSpacing w:w="0" w:type="dxa"/>
          <w:jc w:val="center"/>
        </w:trPr>
        <w:tc>
          <w:tcPr>
            <w:tcW w:w="0" w:type="auto"/>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b/>
                <w:bCs/>
                <w:sz w:val="19"/>
                <w:szCs w:val="19"/>
              </w:rPr>
              <w:t>Requisition Number</w:t>
            </w:r>
          </w:p>
        </w:tc>
        <w:tc>
          <w:tcPr>
            <w:tcW w:w="4000" w:type="pct"/>
            <w:vAlign w:val="center"/>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sz w:val="17"/>
                <w:szCs w:val="17"/>
              </w:rPr>
              <w:t>15946BR</w:t>
            </w:r>
          </w:p>
        </w:tc>
      </w:tr>
      <w:tr w:rsidR="001D30B6" w:rsidRPr="001D30B6">
        <w:trPr>
          <w:tblCellSpacing w:w="0" w:type="dxa"/>
          <w:jc w:val="center"/>
        </w:trPr>
        <w:tc>
          <w:tcPr>
            <w:tcW w:w="0" w:type="auto"/>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b/>
                <w:bCs/>
                <w:sz w:val="19"/>
                <w:szCs w:val="19"/>
              </w:rPr>
              <w:t>Job Description</w:t>
            </w:r>
          </w:p>
        </w:tc>
        <w:tc>
          <w:tcPr>
            <w:tcW w:w="4000" w:type="pct"/>
            <w:vAlign w:val="center"/>
            <w:hideMark/>
          </w:tcPr>
          <w:p w:rsidR="001D30B6" w:rsidRPr="001D30B6" w:rsidRDefault="001D30B6" w:rsidP="001D30B6">
            <w:pPr>
              <w:spacing w:after="240" w:line="240" w:lineRule="auto"/>
              <w:rPr>
                <w:rFonts w:ascii="Verdana" w:eastAsia="Times New Roman" w:hAnsi="Verdana"/>
                <w:sz w:val="17"/>
                <w:szCs w:val="17"/>
              </w:rPr>
            </w:pPr>
            <w:r w:rsidRPr="001D30B6">
              <w:rPr>
                <w:rFonts w:ascii="Verdana" w:eastAsia="Times New Roman" w:hAnsi="Verdana"/>
                <w:sz w:val="17"/>
                <w:szCs w:val="17"/>
              </w:rPr>
              <w:t xml:space="preserve">Altria Group is a FORTUNE 200 company that owns the premier tobacco companies in the United States including Philip Morris USA, U.S. Smokeless Tobacco Company, John Middleton and Nu Mark. The companies’ brands include Marlboro, Copenhagen, </w:t>
            </w:r>
            <w:proofErr w:type="spellStart"/>
            <w:r w:rsidRPr="001D30B6">
              <w:rPr>
                <w:rFonts w:ascii="Verdana" w:eastAsia="Times New Roman" w:hAnsi="Verdana"/>
                <w:sz w:val="17"/>
                <w:szCs w:val="17"/>
              </w:rPr>
              <w:t>Skoal</w:t>
            </w:r>
            <w:proofErr w:type="spellEnd"/>
            <w:r w:rsidRPr="001D30B6">
              <w:rPr>
                <w:rFonts w:ascii="Verdana" w:eastAsia="Times New Roman" w:hAnsi="Verdana"/>
                <w:sz w:val="17"/>
                <w:szCs w:val="17"/>
              </w:rPr>
              <w:t xml:space="preserve">, Black &amp; Mild, </w:t>
            </w:r>
            <w:proofErr w:type="spellStart"/>
            <w:r w:rsidRPr="001D30B6">
              <w:rPr>
                <w:rFonts w:ascii="Verdana" w:eastAsia="Times New Roman" w:hAnsi="Verdana"/>
                <w:sz w:val="17"/>
                <w:szCs w:val="17"/>
              </w:rPr>
              <w:t>MarkTen</w:t>
            </w:r>
            <w:proofErr w:type="spellEnd"/>
            <w:r w:rsidRPr="001D30B6">
              <w:rPr>
                <w:rFonts w:ascii="Verdana" w:eastAsia="Times New Roman" w:hAnsi="Verdana"/>
                <w:sz w:val="17"/>
                <w:szCs w:val="17"/>
              </w:rPr>
              <w:t xml:space="preserve"> and VERVE. Altria also owns Ste. Michelle Wine Estates, one of the country’s top premium wine producers, and Philip Morris Capital Corporation, an investment company. Altria’s mission is to own and develop financially disciplined businesses that are leaders in responsibly providing adult tobacco and wine consumers with superior branded products.</w:t>
            </w:r>
            <w:r w:rsidRPr="001D30B6">
              <w:rPr>
                <w:rFonts w:ascii="Verdana" w:eastAsia="Times New Roman" w:hAnsi="Verdana"/>
                <w:sz w:val="17"/>
                <w:szCs w:val="17"/>
              </w:rPr>
              <w:br/>
            </w:r>
            <w:r w:rsidRPr="001D30B6">
              <w:rPr>
                <w:rFonts w:ascii="Verdana" w:eastAsia="Times New Roman" w:hAnsi="Verdana"/>
                <w:sz w:val="17"/>
                <w:szCs w:val="17"/>
              </w:rPr>
              <w:br/>
              <w:t xml:space="preserve">Altria Import Export Services’ role is to provide high quality import and export services to the Altria family of companies. We are currently seeking a highly qualified </w:t>
            </w:r>
            <w:r w:rsidRPr="001D30B6">
              <w:rPr>
                <w:rFonts w:ascii="Verdana" w:eastAsia="Times New Roman" w:hAnsi="Verdana"/>
                <w:b/>
                <w:bCs/>
                <w:sz w:val="17"/>
                <w:szCs w:val="17"/>
              </w:rPr>
              <w:t>Senior Analyst</w:t>
            </w:r>
            <w:r w:rsidRPr="001D30B6">
              <w:rPr>
                <w:rFonts w:ascii="Verdana" w:eastAsia="Times New Roman" w:hAnsi="Verdana"/>
                <w:sz w:val="17"/>
                <w:szCs w:val="17"/>
              </w:rPr>
              <w:t xml:space="preserve"> to join our Procurement department in Richmond, VA. The successful candidate will be responsible for international logistics execution and trade compliance to support our supply chains and innovation efforts. </w:t>
            </w:r>
            <w:r w:rsidRPr="001D30B6">
              <w:rPr>
                <w:rFonts w:ascii="Verdana" w:eastAsia="Times New Roman" w:hAnsi="Verdana"/>
                <w:sz w:val="17"/>
                <w:szCs w:val="17"/>
              </w:rPr>
              <w:br/>
            </w:r>
            <w:r w:rsidRPr="001D30B6">
              <w:rPr>
                <w:rFonts w:ascii="Verdana" w:eastAsia="Times New Roman" w:hAnsi="Verdana"/>
                <w:sz w:val="17"/>
                <w:szCs w:val="17"/>
              </w:rPr>
              <w:br/>
            </w:r>
            <w:r w:rsidRPr="001D30B6">
              <w:rPr>
                <w:rFonts w:ascii="Verdana" w:eastAsia="Times New Roman" w:hAnsi="Verdana"/>
                <w:b/>
                <w:bCs/>
                <w:sz w:val="17"/>
                <w:szCs w:val="17"/>
              </w:rPr>
              <w:t>Specific accountabilities include:</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Providing optimal customer service to all stakeholders</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Communicating professionally and effectively, written and verbally, with both internal and external customers and suppliers</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Consulting with internal clients and colleagues to understand supply chain needs and developing plans to meet them</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Synthesizing and communicating data to address a broad range of questions related to supply chain management, international logistics, and trade compliance from key client groups across the various Altria companies and internal procurement functions</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Monitoring supply chain performance of logistics providers, and identifying issues and trends that require action or further investigation</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Participating in departmental initiatives aimed at improving supply chain approaches and standards</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Participating in cross-functional teams to investigate major strategic and business initiatives, and driving actionable results and business decisions</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Maintaining strong relationships with external suppliers to ensure superior service and quality</w:t>
            </w:r>
          </w:p>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Symbol"/>
                <w:sz w:val="17"/>
                <w:szCs w:val="17"/>
              </w:rPr>
              <w:t></w:t>
            </w:r>
            <w:r w:rsidRPr="001D30B6">
              <w:rPr>
                <w:rFonts w:ascii="Verdana" w:eastAsia="Times New Roman" w:hAnsi="Verdana"/>
                <w:sz w:val="17"/>
                <w:szCs w:val="17"/>
              </w:rPr>
              <w:t xml:space="preserve">  Acting as a strategic thinking partner by integrating supply chain insights and business requirements to inform supply chain decisions</w:t>
            </w:r>
          </w:p>
        </w:tc>
      </w:tr>
      <w:tr w:rsidR="001D30B6" w:rsidRPr="001D30B6">
        <w:trPr>
          <w:tblCellSpacing w:w="0" w:type="dxa"/>
          <w:jc w:val="center"/>
        </w:trPr>
        <w:tc>
          <w:tcPr>
            <w:tcW w:w="0" w:type="auto"/>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b/>
                <w:bCs/>
                <w:sz w:val="19"/>
                <w:szCs w:val="19"/>
              </w:rPr>
              <w:t>Specific Skills</w:t>
            </w:r>
          </w:p>
        </w:tc>
        <w:tc>
          <w:tcPr>
            <w:tcW w:w="4000" w:type="pct"/>
            <w:vAlign w:val="center"/>
            <w:hideMark/>
          </w:tcPr>
          <w:p w:rsidR="001D30B6" w:rsidRPr="001D30B6" w:rsidRDefault="001D30B6" w:rsidP="001D30B6">
            <w:pPr>
              <w:spacing w:after="240" w:line="240" w:lineRule="auto"/>
              <w:rPr>
                <w:rFonts w:ascii="Verdana" w:eastAsia="Times New Roman" w:hAnsi="Verdana"/>
                <w:sz w:val="17"/>
                <w:szCs w:val="17"/>
              </w:rPr>
            </w:pPr>
            <w:r w:rsidRPr="001D30B6">
              <w:rPr>
                <w:rFonts w:ascii="Verdana" w:eastAsia="Times New Roman" w:hAnsi="Verdana"/>
                <w:b/>
                <w:bCs/>
                <w:sz w:val="17"/>
                <w:szCs w:val="17"/>
              </w:rPr>
              <w:t>Qualifications include:</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A Bachelor’s Degree or equivalent in Logistics, Supply Chain, or Business, plus a minimum of 3 years of experience in international logistics and trade compliance on the client side or supplier side</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Excellent written, verbal and interpersonal communication skills, and the ability to generate and activate actionable insights into business recommendations</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Excellent leadership skills and the capability to build positive working relationships with colleagues and key stakeholders</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Strong problem solving and critical thinking skills and the confidence to try new solutions</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lastRenderedPageBreak/>
              <w:t></w:t>
            </w:r>
            <w:r w:rsidRPr="001D30B6">
              <w:rPr>
                <w:rFonts w:ascii="Verdana" w:eastAsia="Times New Roman" w:hAnsi="Verdana"/>
                <w:sz w:val="17"/>
                <w:szCs w:val="17"/>
              </w:rPr>
              <w:t xml:space="preserve">  Knowledge of US Customs and regulations and compliance procedures; also Other Government Agency regulations related to import and export compliance</w:t>
            </w:r>
          </w:p>
          <w:p w:rsidR="001D30B6" w:rsidRPr="001D30B6" w:rsidRDefault="001D30B6" w:rsidP="001D30B6">
            <w:pPr>
              <w:spacing w:after="0" w:line="240" w:lineRule="auto"/>
              <w:rPr>
                <w:rFonts w:ascii="Verdana" w:eastAsia="Times New Roman" w:hAnsi="Verdana"/>
                <w:sz w:val="17"/>
                <w:szCs w:val="17"/>
              </w:rPr>
            </w:pPr>
            <w:r w:rsidRPr="001D30B6">
              <w:rPr>
                <w:rFonts w:ascii="Verdana" w:eastAsia="Times New Roman" w:hAnsi="Symbol"/>
                <w:sz w:val="17"/>
                <w:szCs w:val="17"/>
              </w:rPr>
              <w:t></w:t>
            </w:r>
            <w:r w:rsidRPr="001D30B6">
              <w:rPr>
                <w:rFonts w:ascii="Verdana" w:eastAsia="Times New Roman" w:hAnsi="Verdana"/>
                <w:sz w:val="17"/>
                <w:szCs w:val="17"/>
              </w:rPr>
              <w:t xml:space="preserve">  Knowledge of international trade and logistics to include international documentation, harmonized tariff systems, and terms of sale used in the import and export of goods</w:t>
            </w:r>
          </w:p>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Symbol"/>
                <w:sz w:val="17"/>
                <w:szCs w:val="17"/>
              </w:rPr>
              <w:t></w:t>
            </w:r>
            <w:r w:rsidRPr="001D30B6">
              <w:rPr>
                <w:rFonts w:ascii="Verdana" w:eastAsia="Times New Roman" w:hAnsi="Verdana"/>
                <w:sz w:val="17"/>
                <w:szCs w:val="17"/>
              </w:rPr>
              <w:t xml:space="preserve">  High level proficiency with MS Office applications, especially Excel and Word; working knowledge of ABI (Automated Broker Interface) and AES (Automated Export System</w:t>
            </w:r>
            <w:r w:rsidRPr="001D30B6">
              <w:rPr>
                <w:rFonts w:ascii="Verdana" w:eastAsia="Times New Roman" w:hAnsi="Verdana"/>
                <w:sz w:val="17"/>
                <w:szCs w:val="17"/>
              </w:rPr>
              <w:br/>
            </w:r>
            <w:r w:rsidRPr="001D30B6">
              <w:rPr>
                <w:rFonts w:ascii="Verdana" w:eastAsia="Times New Roman" w:hAnsi="Verdana"/>
                <w:sz w:val="17"/>
                <w:szCs w:val="17"/>
              </w:rPr>
              <w:br/>
              <w:t>At Altria Import Export Services, we recognize that our people are the reason we achieve our business goals. We believe in developing the leadership potential of our employees by providing them with opportunities for training, development and advancement.</w:t>
            </w:r>
            <w:r w:rsidRPr="001D30B6">
              <w:rPr>
                <w:rFonts w:ascii="Verdana" w:eastAsia="Times New Roman" w:hAnsi="Verdana"/>
                <w:sz w:val="17"/>
                <w:szCs w:val="17"/>
              </w:rPr>
              <w:br/>
            </w:r>
            <w:r w:rsidRPr="001D30B6">
              <w:rPr>
                <w:rFonts w:ascii="Verdana" w:eastAsia="Times New Roman" w:hAnsi="Verdana"/>
                <w:sz w:val="17"/>
                <w:szCs w:val="17"/>
              </w:rPr>
              <w:br/>
              <w:t>In addition to the opportunity to apply and develop your skills toward key business objectives, we offer an excellent compensation package including a competitive base salary, comprehensive health/vision/dental insurance, participation in our incentive compensation and deferred profit sharing programs, as well as a relocation assistance package.</w:t>
            </w:r>
          </w:p>
        </w:tc>
      </w:tr>
      <w:tr w:rsidR="001D30B6" w:rsidRPr="001D30B6">
        <w:trPr>
          <w:tblCellSpacing w:w="0" w:type="dxa"/>
          <w:jc w:val="center"/>
        </w:trPr>
        <w:tc>
          <w:tcPr>
            <w:tcW w:w="0" w:type="auto"/>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b/>
                <w:bCs/>
                <w:sz w:val="19"/>
                <w:szCs w:val="19"/>
              </w:rPr>
              <w:lastRenderedPageBreak/>
              <w:t>NOTE*</w:t>
            </w:r>
          </w:p>
        </w:tc>
        <w:tc>
          <w:tcPr>
            <w:tcW w:w="0" w:type="auto"/>
            <w:vAlign w:val="center"/>
            <w:hideMark/>
          </w:tcPr>
          <w:p w:rsidR="001D30B6" w:rsidRPr="001D30B6" w:rsidRDefault="001D30B6" w:rsidP="001D30B6">
            <w:pPr>
              <w:spacing w:after="0" w:line="240" w:lineRule="auto"/>
              <w:rPr>
                <w:rFonts w:ascii="Verdana" w:eastAsia="Times New Roman" w:hAnsi="Verdana"/>
                <w:sz w:val="24"/>
                <w:szCs w:val="24"/>
              </w:rPr>
            </w:pPr>
            <w:r w:rsidRPr="001D30B6">
              <w:rPr>
                <w:rFonts w:ascii="Verdana" w:eastAsia="Times New Roman" w:hAnsi="Verdana"/>
                <w:sz w:val="17"/>
                <w:szCs w:val="17"/>
              </w:rPr>
              <w:t>Each Altria company is an equal opportunity employer. We consider qualified applicants without regard to race, color, religion, sex, national origin, sexual orientation, disability, gender identity, veteran status, or other protected class.</w:t>
            </w:r>
          </w:p>
        </w:tc>
      </w:tr>
    </w:tbl>
    <w:p w:rsidR="007C2784" w:rsidRDefault="00197576"/>
    <w:sectPr w:rsidR="007C2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0B6"/>
    <w:rsid w:val="00197576"/>
    <w:rsid w:val="001D30B6"/>
    <w:rsid w:val="0034124B"/>
    <w:rsid w:val="003E4089"/>
    <w:rsid w:val="00483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2</Pages>
  <Words>601</Words>
  <Characters>3793</Characters>
  <Application>Microsoft Office Word</Application>
  <DocSecurity>0</DocSecurity>
  <Lines>88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