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AU US FTA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adjusted value </w:t>
      </w:r>
      <w:r>
        <w:rPr>
          <w:rFonts w:ascii="Times New Roman" w:hAnsi="Times New Roman"/>
          <w:sz w:val="24"/>
          <w:szCs w:val="24"/>
        </w:rPr>
        <w:t>means the value determined under Articles 1 through 8, Article 15, and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corresponding interpretative notes of the Customs Valuation Agreement, as adjusted to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exclude any costs, charges, or expenses incurred for transportation, insurance, and related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services incidental to the international shipment of the good from the country of exportation to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place of importation;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net cost </w:t>
      </w:r>
      <w:r>
        <w:rPr>
          <w:rFonts w:ascii="Times New Roman" w:hAnsi="Times New Roman"/>
          <w:sz w:val="24"/>
          <w:szCs w:val="24"/>
        </w:rPr>
        <w:t>means total cost minus sales promotion, marketing, and after-sales service costs,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royalties, shipping and packing costs, and non-allowable interest costs that are included in the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cost;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net </w:t>
      </w:r>
      <w:r>
        <w:rPr>
          <w:rFonts w:ascii="Times New Roman" w:hAnsi="Times New Roman"/>
          <w:sz w:val="24"/>
          <w:szCs w:val="24"/>
        </w:rPr>
        <w:t>cost of the good means the net cost that can be reasonably allocated to the good under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one of the following methods: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 calculate the total cost incurred with respect to all goods produced by that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producer, subtract any sales promotion, marketing and after-sales service costs,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royalties, shipping and packing costs, and non-allowable interest costs that are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included in the total cost of all such goods, and then reasonably allocate the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resulting net cost of those goods to the good;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 calculate the total cost incurred with respect to all goods produced by that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producer, reasonably allocate the total cost to the good, and then subtract any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sales promotion, marketing, and after-sales service costs, royalties, shipping and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packing costs, and non-allowable interest costs that are included in the portion of the total cost allocated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the good; or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 reasonably allocate each cost that forms part of the total cost incurred with respect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the good so that the aggregate of these costs does not include any sales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promotion, marketing, and after-sales service costs, royalties, shipping and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packing costs, and non-allowable interest costs,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provided that the allocation of all such costs is consistent with the provisions regarding the</w:t>
      </w:r>
    </w:p>
    <w:p w:rsidR="00ED224B" w:rsidRDefault="00ED2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reasonable allocation of costs set out in generally accepted accounting principles;</w:t>
      </w:r>
    </w:p>
    <w:p w:rsidR="00681B0A" w:rsidRDefault="00681B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sz w:val="26"/>
          <w:szCs w:val="26"/>
        </w:rPr>
      </w:pPr>
      <w:r>
        <w:rPr>
          <w:rFonts w:ascii="Bookman Old Style" w:hAnsi="Bookman Old Style" w:cs="Bookman Old Style"/>
          <w:b/>
          <w:bCs/>
          <w:sz w:val="26"/>
          <w:szCs w:val="26"/>
        </w:rPr>
        <w:t>Regional Value Content (Article 5.4)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For a proportion of products, the change of tariff classification rule is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supported by a local content threshold component called the regional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value content (RVC) requirement, i.e. domestically sourced materials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and processes must represent an agreed proportion of the final value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of the product. The RVC component can take the form of either an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additional requirement to the specified change in tariff classification,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or can provide an optional test, allowing the product to meet a lesser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degree of tariff shift if the threshold is reached. The Agreement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provides for three formulas to determine the RVCs: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Symbol" w:hAnsi="Symbol" w:cs="Symbol" w:hint="eastAsia"/>
          <w:sz w:val="24"/>
          <w:szCs w:val="24"/>
        </w:rPr>
        <w:t>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Bookman Old Style" w:hAnsi="Bookman Old Style" w:cs="Bookman Old Style"/>
          <w:sz w:val="24"/>
          <w:szCs w:val="24"/>
        </w:rPr>
        <w:t>The Build-Down method, where the RVC threshold is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determined by calculating the value of the final product after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subtracting the cost of non-originating materials and comparing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this to the value of the exported product. Article 5.4.1(a)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Symbol" w:hAnsi="Symbol" w:cs="Symbol" w:hint="eastAsia"/>
          <w:sz w:val="24"/>
          <w:szCs w:val="24"/>
        </w:rPr>
        <w:t>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Bookman Old Style" w:hAnsi="Bookman Old Style" w:cs="Bookman Old Style"/>
          <w:sz w:val="24"/>
          <w:szCs w:val="24"/>
        </w:rPr>
        <w:t>The Build-Up method, under which the RVC threshold is based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lastRenderedPageBreak/>
        <w:t>on the proportion of the value of the final product represented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by locally sourced materials. Article 5.4.1(b)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Symbol" w:hAnsi="Symbol" w:cs="Symbol" w:hint="eastAsia"/>
          <w:sz w:val="24"/>
          <w:szCs w:val="24"/>
        </w:rPr>
        <w:t>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Bookman Old Style" w:hAnsi="Bookman Old Style" w:cs="Bookman Old Style"/>
          <w:sz w:val="24"/>
          <w:szCs w:val="24"/>
        </w:rPr>
        <w:t>A Net Cost method that is applied only to certain automotive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products. This method akin to Australia’s traditional RVC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calculation under the Australia New Zealand Closer Economic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Relations Trade Agreement (ANZCERTA). See Article 5.4.2.</w:t>
      </w:r>
    </w:p>
    <w:p w:rsidR="00681B0A" w:rsidRPr="00AF2A30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  <w:highlight w:val="yellow"/>
        </w:rPr>
      </w:pPr>
      <w:r w:rsidRPr="00AF2A30">
        <w:rPr>
          <w:rFonts w:ascii="Bookman Old Style" w:hAnsi="Bookman Old Style" w:cs="Bookman Old Style"/>
          <w:sz w:val="24"/>
          <w:szCs w:val="24"/>
          <w:highlight w:val="yellow"/>
        </w:rPr>
        <w:t xml:space="preserve">The normal thresholds under the Agreement are </w:t>
      </w:r>
      <w:r w:rsidRPr="0069219A">
        <w:rPr>
          <w:rFonts w:ascii="Bookman Old Style" w:hAnsi="Bookman Old Style" w:cs="Bookman Old Style"/>
          <w:b/>
          <w:sz w:val="24"/>
          <w:szCs w:val="24"/>
          <w:highlight w:val="yellow"/>
        </w:rPr>
        <w:t>35</w:t>
      </w:r>
      <w:r w:rsidRPr="00AF2A30">
        <w:rPr>
          <w:rFonts w:ascii="Bookman Old Style" w:hAnsi="Bookman Old Style" w:cs="Bookman Old Style"/>
          <w:sz w:val="24"/>
          <w:szCs w:val="24"/>
          <w:highlight w:val="yellow"/>
        </w:rPr>
        <w:t xml:space="preserve"> per cent using the</w:t>
      </w:r>
    </w:p>
    <w:p w:rsidR="00681B0A" w:rsidRPr="00AF2A30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  <w:highlight w:val="yellow"/>
        </w:rPr>
      </w:pPr>
      <w:r w:rsidRPr="00AF2A30">
        <w:rPr>
          <w:rFonts w:ascii="Bookman Old Style" w:hAnsi="Bookman Old Style" w:cs="Bookman Old Style"/>
          <w:sz w:val="24"/>
          <w:szCs w:val="24"/>
          <w:highlight w:val="yellow"/>
        </w:rPr>
        <w:t xml:space="preserve">Build-Up method, </w:t>
      </w:r>
      <w:r w:rsidRPr="0069219A">
        <w:rPr>
          <w:rFonts w:ascii="Bookman Old Style" w:hAnsi="Bookman Old Style" w:cs="Bookman Old Style"/>
          <w:b/>
          <w:sz w:val="24"/>
          <w:szCs w:val="24"/>
          <w:highlight w:val="yellow"/>
        </w:rPr>
        <w:t>45</w:t>
      </w:r>
      <w:r w:rsidRPr="00AF2A30">
        <w:rPr>
          <w:rFonts w:ascii="Bookman Old Style" w:hAnsi="Bookman Old Style" w:cs="Bookman Old Style"/>
          <w:sz w:val="24"/>
          <w:szCs w:val="24"/>
          <w:highlight w:val="yellow"/>
        </w:rPr>
        <w:t xml:space="preserve"> per cent per cent using the Build-Down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 w:rsidRPr="00AF2A30">
        <w:rPr>
          <w:rFonts w:ascii="Bookman Old Style" w:hAnsi="Bookman Old Style" w:cs="Bookman Old Style"/>
          <w:sz w:val="24"/>
          <w:szCs w:val="24"/>
          <w:highlight w:val="yellow"/>
        </w:rPr>
        <w:t xml:space="preserve">approach </w:t>
      </w:r>
      <w:r w:rsidRPr="0069219A">
        <w:rPr>
          <w:rFonts w:ascii="Bookman Old Style" w:hAnsi="Bookman Old Style" w:cs="Bookman Old Style"/>
          <w:sz w:val="24"/>
          <w:szCs w:val="24"/>
        </w:rPr>
        <w:t>and 50 per cent for the Net Cost automotive method.</w:t>
      </w:r>
      <w:r>
        <w:rPr>
          <w:rFonts w:ascii="Bookman Old Style" w:hAnsi="Bookman Old Style" w:cs="Bookman Old Style"/>
          <w:sz w:val="24"/>
          <w:szCs w:val="24"/>
        </w:rPr>
        <w:t xml:space="preserve"> In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many cases, importers have the option of choosing which of these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methods will apply to their products. For some products the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thresholds are higher.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For some cases, only one of the cost formulas will apply. For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automotive, the Net Cost method is obligatory where an RVC is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required. For non-automotive products, the single formula is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generally the Build-Up approach. The use of this single approach</w:t>
      </w:r>
    </w:p>
    <w:p w:rsidR="00681B0A" w:rsidRDefault="00681B0A" w:rsidP="00681B0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ensures that there is no more than a set maximum contribution from</w:t>
      </w:r>
    </w:p>
    <w:p w:rsidR="00681B0A" w:rsidRDefault="00681B0A" w:rsidP="00681B0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imported materials in production of a qualifying export product.</w:t>
      </w:r>
    </w:p>
    <w:p w:rsidR="00E32429" w:rsidRDefault="00E32429" w:rsidP="00681B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32429" w:rsidRDefault="00E32429" w:rsidP="00E3242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The formulas used to calculate regional value content refer to the</w:t>
      </w:r>
    </w:p>
    <w:p w:rsidR="00E32429" w:rsidRDefault="00E32429" w:rsidP="00E3242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 w:rsidRPr="002D264A">
        <w:rPr>
          <w:rFonts w:ascii="Bookman Old Style" w:hAnsi="Bookman Old Style" w:cs="Bookman Old Style"/>
          <w:sz w:val="24"/>
          <w:szCs w:val="24"/>
          <w:highlight w:val="yellow"/>
        </w:rPr>
        <w:t>“adjusted value”</w:t>
      </w:r>
      <w:r>
        <w:rPr>
          <w:rFonts w:ascii="Bookman Old Style" w:hAnsi="Bookman Old Style" w:cs="Bookman Old Style"/>
          <w:sz w:val="24"/>
          <w:szCs w:val="24"/>
        </w:rPr>
        <w:t xml:space="preserve"> of the export product. This value equates to the freeon-</w:t>
      </w:r>
    </w:p>
    <w:p w:rsidR="00E32429" w:rsidRDefault="00E32429" w:rsidP="00E3242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board (FOB) value of the product – i.e., the price paid by the</w:t>
      </w:r>
    </w:p>
    <w:p w:rsidR="00E32429" w:rsidRDefault="00E32429" w:rsidP="00E3242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importer, less international shipping and related costs.</w:t>
      </w:r>
    </w:p>
    <w:p w:rsidR="00E32429" w:rsidRDefault="00E32429" w:rsidP="00E3242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The value of imported materials (Article 5.5) is based on the WTO</w:t>
      </w:r>
    </w:p>
    <w:p w:rsidR="00E32429" w:rsidRDefault="00E32429" w:rsidP="00E3242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Customs Valuation Agreement, which is normally the price paid by</w:t>
      </w:r>
    </w:p>
    <w:p w:rsidR="00E32429" w:rsidRDefault="00E32429" w:rsidP="00E3242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the importer adjusted to exclude international shipping costs.</w:t>
      </w:r>
    </w:p>
    <w:p w:rsidR="00E32429" w:rsidRDefault="00E32429" w:rsidP="00E3242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Materials sourced locally are valued on the same basis as for imported</w:t>
      </w:r>
    </w:p>
    <w:p w:rsidR="00E32429" w:rsidRDefault="00E32429" w:rsidP="00E3242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materials, with some minor modifications. Self-produced materials</w:t>
      </w:r>
    </w:p>
    <w:p w:rsidR="00E32429" w:rsidRDefault="00E32429" w:rsidP="00E3242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are valued on the basis of all production costs and an amount for</w:t>
      </w:r>
    </w:p>
    <w:p w:rsidR="00E32429" w:rsidRDefault="00E32429" w:rsidP="00E3242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normal profit. Indirect materials are treated as originating regardless</w:t>
      </w:r>
    </w:p>
    <w:p w:rsidR="00E32429" w:rsidRDefault="00E32429" w:rsidP="00E3242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of where they are produced. The source and cost of packaging</w:t>
      </w:r>
    </w:p>
    <w:p w:rsidR="00E32429" w:rsidRDefault="00E32429" w:rsidP="00E3242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materials does not affect a product’s origin status.</w:t>
      </w:r>
    </w:p>
    <w:p w:rsidR="00E32429" w:rsidRDefault="00E32429" w:rsidP="00E3242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Where non-originating material is processed in Australia or the US,</w:t>
      </w:r>
    </w:p>
    <w:p w:rsidR="00E32429" w:rsidRDefault="00E32429" w:rsidP="00E3242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the cost of that processing and any local materials used may be</w:t>
      </w:r>
    </w:p>
    <w:p w:rsidR="00E32429" w:rsidRDefault="00E32429" w:rsidP="00E3242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deducted from the cost of the non-originating material for the</w:t>
      </w:r>
    </w:p>
    <w:p w:rsidR="00E32429" w:rsidRDefault="00E32429" w:rsidP="00E324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Bookman Old Style" w:hAnsi="Bookman Old Style" w:cs="Bookman Old Style"/>
          <w:sz w:val="24"/>
          <w:szCs w:val="24"/>
        </w:rPr>
        <w:t>purposes of calculating the RVC.</w:t>
      </w:r>
    </w:p>
    <w:sectPr w:rsidR="00E3242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B0A"/>
    <w:rsid w:val="002D264A"/>
    <w:rsid w:val="0064514E"/>
    <w:rsid w:val="00681B0A"/>
    <w:rsid w:val="0069219A"/>
    <w:rsid w:val="00AF2A30"/>
    <w:rsid w:val="00E32429"/>
    <w:rsid w:val="00ED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1F419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Rose,Lila</dc:creator>
  <cp:keywords/>
  <dc:description/>
  <cp:lastModifiedBy>Rose,Lila</cp:lastModifiedBy>
  <cp:revision>2</cp:revision>
  <dcterms:created xsi:type="dcterms:W3CDTF">2012-10-25T21:02:00Z</dcterms:created>
  <dcterms:modified xsi:type="dcterms:W3CDTF">2012-10-25T21:02:00Z</dcterms:modified>
</cp:coreProperties>
</file>