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C6F" w:rsidRDefault="009D0ABF">
      <w:pPr>
        <w:spacing w:before="100" w:beforeAutospacing="1" w:after="100" w:afterAutospacing="1"/>
        <w:rPr>
          <w:rFonts w:ascii="Times New Roman" w:hAnsi="Times New Roman"/>
          <w:b/>
          <w:bCs/>
          <w:sz w:val="48"/>
          <w:szCs w:val="48"/>
        </w:rPr>
      </w:pPr>
      <w:bookmarkStart w:id="0" w:name="_GoBack"/>
      <w:bookmarkEnd w:id="0"/>
      <w:r>
        <w:rPr>
          <w:rFonts w:ascii="Times New Roman" w:hAnsi="Times New Roman"/>
          <w:b/>
          <w:bCs/>
          <w:sz w:val="48"/>
          <w:szCs w:val="48"/>
        </w:rPr>
        <w:t xml:space="preserve">The Gap, the Trap and the Binding Spring </w:t>
      </w:r>
    </w:p>
    <w:p w:rsidR="006C4C6F" w:rsidRDefault="009D0ABF">
      <w:pPr>
        <w:spacing w:before="100" w:beforeAutospacing="1" w:after="100" w:afterAutospacing="1"/>
        <w:rPr>
          <w:rFonts w:ascii="Times New Roman" w:hAnsi="Times New Roman"/>
          <w:b/>
          <w:bCs/>
          <w:sz w:val="36"/>
          <w:szCs w:val="36"/>
        </w:rPr>
      </w:pPr>
      <w:r>
        <w:rPr>
          <w:rFonts w:ascii="Times New Roman" w:hAnsi="Times New Roman"/>
          <w:b/>
          <w:bCs/>
          <w:sz w:val="36"/>
          <w:szCs w:val="36"/>
        </w:rPr>
        <w:t xml:space="preserve">The </w:t>
      </w:r>
      <w:proofErr w:type="spellStart"/>
      <w:r>
        <w:rPr>
          <w:rFonts w:ascii="Times New Roman" w:hAnsi="Times New Roman"/>
          <w:b/>
          <w:bCs/>
          <w:sz w:val="36"/>
          <w:szCs w:val="36"/>
        </w:rPr>
        <w:t>Bri-Chem</w:t>
      </w:r>
      <w:proofErr w:type="spellEnd"/>
      <w:r>
        <w:rPr>
          <w:rFonts w:ascii="Times New Roman" w:hAnsi="Times New Roman"/>
          <w:b/>
          <w:bCs/>
          <w:sz w:val="36"/>
          <w:szCs w:val="36"/>
        </w:rPr>
        <w:t xml:space="preserve"> trilogy, the rule of law and self-corrections of revenue-neutral tariff treatment under the Customs Act</w:t>
      </w:r>
    </w:p>
    <w:p w:rsidR="006C4C6F" w:rsidRDefault="009D0ABF">
      <w:pPr>
        <w:spacing w:before="100" w:beforeAutospacing="1" w:after="100" w:afterAutospacing="1"/>
        <w:rPr>
          <w:rFonts w:ascii="Times New Roman" w:hAnsi="Times New Roman"/>
          <w:b/>
          <w:bCs/>
          <w:sz w:val="24"/>
          <w:szCs w:val="24"/>
        </w:rPr>
      </w:pPr>
      <w:r>
        <w:rPr>
          <w:rFonts w:ascii="Times New Roman" w:hAnsi="Times New Roman"/>
          <w:b/>
          <w:bCs/>
          <w:sz w:val="24"/>
          <w:szCs w:val="24"/>
        </w:rPr>
        <w:t xml:space="preserve">By Darrel Pearson (416 777 4811; pearsond@bennettjones.com) and George Reid (Bennett Jones LLP, </w:t>
      </w:r>
      <w:r>
        <w:rPr>
          <w:rFonts w:ascii="Times New Roman" w:hAnsi="Times New Roman"/>
          <w:b/>
          <w:bCs/>
          <w:sz w:val="24"/>
          <w:szCs w:val="24"/>
        </w:rPr>
        <w:t>Canadian Counsel to ICPA)</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In three decisions released concurrently by the Canadian International Trade Tribunal (CITT) on September 18, 2015 (collectively referred to as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the CITT instructed the Canada Border Services Agency (CBSA) th</w:t>
      </w:r>
      <w:r>
        <w:rPr>
          <w:rFonts w:ascii="Times New Roman" w:eastAsiaTheme="minorHAnsi" w:hAnsi="Times New Roman"/>
          <w:sz w:val="24"/>
          <w:szCs w:val="24"/>
        </w:rPr>
        <w:t xml:space="preserve">at the CITT's legal interpretations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are binding on the CBSA unless it successfully appeals to the Federal Court of Appeal or the Supreme Court of Canada.</w:t>
      </w:r>
      <w:r>
        <w:rPr>
          <w:rFonts w:ascii="Times New Roman" w:eastAsiaTheme="minorHAnsi" w:hAnsi="Times New Roman"/>
          <w:sz w:val="24"/>
          <w:szCs w:val="24"/>
          <w:vertAlign w:val="superscript"/>
        </w:rPr>
        <w:t>1</w:t>
      </w:r>
      <w:r>
        <w:rPr>
          <w:rFonts w:ascii="Times New Roman" w:eastAsiaTheme="minorHAnsi" w:hAnsi="Times New Roman"/>
          <w:sz w:val="24"/>
          <w:szCs w:val="24"/>
        </w:rPr>
        <w:t xml:space="preserve"> The binding nature of the legal precedent applies not only to the case before the </w:t>
      </w:r>
      <w:r>
        <w:rPr>
          <w:rFonts w:ascii="Times New Roman" w:eastAsiaTheme="minorHAnsi" w:hAnsi="Times New Roman"/>
          <w:sz w:val="24"/>
          <w:szCs w:val="24"/>
        </w:rPr>
        <w:t xml:space="preserve">CITT, but to all cases considered by the CBSA unless distinguishable on the facts.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It has been the contradictory and erroneously founded opinion of the CBSA that decisions of the CITT are specific to the appeals it determines and otherwise do not bind the</w:t>
      </w:r>
      <w:r>
        <w:rPr>
          <w:rFonts w:ascii="Times New Roman" w:eastAsiaTheme="minorHAnsi" w:hAnsi="Times New Roman"/>
          <w:sz w:val="24"/>
          <w:szCs w:val="24"/>
        </w:rPr>
        <w:t xml:space="preserve"> CBSA in disputes with other importers that raise the same questions of law and mixed fact and law. As was the case in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the CBSA disagreed with a CITT decision, did not appeal it, and continued to apply its erroneous interpretation of </w:t>
      </w:r>
      <w:r>
        <w:rPr>
          <w:rFonts w:ascii="Times New Roman" w:eastAsiaTheme="minorHAnsi" w:hAnsi="Times New Roman"/>
          <w:sz w:val="24"/>
          <w:szCs w:val="24"/>
        </w:rPr>
        <w:t xml:space="preserve">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to the detriment of importers who structured their affairs on the basis of the CITT decision. By proceeding in this manner, the CBSA has disrespectfully limited the negative impact of the CITT decision on its own erroneous policies and has </w:t>
      </w:r>
      <w:r>
        <w:rPr>
          <w:rFonts w:ascii="Times New Roman" w:eastAsiaTheme="minorHAnsi" w:hAnsi="Times New Roman"/>
          <w:sz w:val="24"/>
          <w:szCs w:val="24"/>
        </w:rPr>
        <w:t xml:space="preserve">breached the rule of law. It is expected that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will cause the CBSA to change its approach; if in future it disagrees with CITT decisions, it should be expected that the CBSA will appeal them rather than ignoring their precedential value</w:t>
      </w:r>
      <w:r>
        <w:rPr>
          <w:rFonts w:ascii="Times New Roman" w:eastAsiaTheme="minorHAnsi" w:hAnsi="Times New Roman"/>
          <w:sz w:val="24"/>
          <w:szCs w:val="24"/>
        </w:rPr>
        <w:t>.</w:t>
      </w:r>
      <w:r>
        <w:rPr>
          <w:rFonts w:ascii="Times New Roman" w:eastAsiaTheme="minorHAnsi" w:hAnsi="Times New Roman"/>
          <w:sz w:val="24"/>
          <w:szCs w:val="24"/>
          <w:vertAlign w:val="superscript"/>
        </w:rPr>
        <w:t>2</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This article addresses (</w:t>
      </w:r>
      <w:proofErr w:type="spellStart"/>
      <w:r>
        <w:rPr>
          <w:rFonts w:ascii="Times New Roman" w:eastAsiaTheme="minorHAnsi" w:hAnsi="Times New Roman"/>
          <w:sz w:val="24"/>
          <w:szCs w:val="24"/>
        </w:rPr>
        <w:t>i</w:t>
      </w:r>
      <w:proofErr w:type="spellEnd"/>
      <w:r>
        <w:rPr>
          <w:rFonts w:ascii="Times New Roman" w:eastAsiaTheme="minorHAnsi" w:hAnsi="Times New Roman"/>
          <w:sz w:val="24"/>
          <w:szCs w:val="24"/>
        </w:rPr>
        <w:t xml:space="preserve">) the gap in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that gave rise to the substantive issue in </w:t>
      </w:r>
      <w:r>
        <w:rPr>
          <w:rFonts w:ascii="Times New Roman" w:eastAsiaTheme="minorHAnsi" w:hAnsi="Times New Roman"/>
          <w:i/>
          <w:iCs/>
          <w:sz w:val="24"/>
          <w:szCs w:val="24"/>
        </w:rPr>
        <w:t>Frito-Lay</w:t>
      </w:r>
      <w:r>
        <w:rPr>
          <w:rFonts w:ascii="Times New Roman" w:eastAsiaTheme="minorHAnsi" w:hAnsi="Times New Roman"/>
          <w:sz w:val="24"/>
          <w:szCs w:val="24"/>
          <w:vertAlign w:val="superscript"/>
        </w:rPr>
        <w:t>3</w:t>
      </w:r>
      <w:r>
        <w:rPr>
          <w:rFonts w:ascii="Times New Roman" w:eastAsiaTheme="minorHAnsi" w:hAnsi="Times New Roman"/>
          <w:sz w:val="24"/>
          <w:szCs w:val="24"/>
        </w:rPr>
        <w:t xml:space="preserve"> and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(ii) the CITT’s justification for overruling the CBSA’s practice of denying concurrent, revenue-neutral corrections to </w:t>
      </w:r>
      <w:r>
        <w:rPr>
          <w:rFonts w:ascii="Times New Roman" w:eastAsiaTheme="minorHAnsi" w:hAnsi="Times New Roman"/>
          <w:sz w:val="24"/>
          <w:szCs w:val="24"/>
        </w:rPr>
        <w:t xml:space="preserve">tariff classification and preferential tariff treatment claims, and (iii) the rule of law concerns arising from the CBSA’s conduct. At the heart of the dispute is the CBSA’s precipitation of a troubling challenge to the CITT’s statutory authority to issue </w:t>
      </w:r>
      <w:r>
        <w:rPr>
          <w:rFonts w:ascii="Times New Roman" w:eastAsiaTheme="minorHAnsi" w:hAnsi="Times New Roman"/>
          <w:sz w:val="24"/>
          <w:szCs w:val="24"/>
        </w:rPr>
        <w:t xml:space="preserve">binding rulings that govern the CBSA’s day-to-day </w:t>
      </w:r>
      <w:proofErr w:type="gramStart"/>
      <w:r>
        <w:rPr>
          <w:rFonts w:ascii="Times New Roman" w:eastAsiaTheme="minorHAnsi" w:hAnsi="Times New Roman"/>
          <w:sz w:val="24"/>
          <w:szCs w:val="24"/>
        </w:rPr>
        <w:t>enforcement</w:t>
      </w:r>
      <w:proofErr w:type="gramEnd"/>
      <w:r>
        <w:rPr>
          <w:rFonts w:ascii="Times New Roman" w:eastAsiaTheme="minorHAnsi" w:hAnsi="Times New Roman"/>
          <w:sz w:val="24"/>
          <w:szCs w:val="24"/>
        </w:rPr>
        <w:t xml:space="preserve">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 xml:space="preserve">The </w:t>
      </w:r>
      <w:proofErr w:type="spellStart"/>
      <w:r>
        <w:rPr>
          <w:rFonts w:ascii="Times New Roman" w:eastAsiaTheme="minorHAnsi" w:hAnsi="Times New Roman"/>
          <w:b/>
          <w:bCs/>
          <w:sz w:val="28"/>
          <w:szCs w:val="28"/>
        </w:rPr>
        <w:t>Bri-Chem</w:t>
      </w:r>
      <w:proofErr w:type="spellEnd"/>
      <w:r>
        <w:rPr>
          <w:rFonts w:ascii="Times New Roman" w:eastAsiaTheme="minorHAnsi" w:hAnsi="Times New Roman"/>
          <w:b/>
          <w:bCs/>
          <w:sz w:val="28"/>
          <w:szCs w:val="28"/>
        </w:rPr>
        <w:t xml:space="preserve"> Trilogy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appeals required the CITT to resolve a single question: does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permit an importer to make a revenue-neutral claim for preferential tariff treatment under a free trade agreement when it corrects an error in tariff classification and originally claimed a zero rate of duty based on classification? The CITT previously an</w:t>
      </w:r>
      <w:r>
        <w:rPr>
          <w:rFonts w:ascii="Times New Roman" w:eastAsiaTheme="minorHAnsi" w:hAnsi="Times New Roman"/>
          <w:sz w:val="24"/>
          <w:szCs w:val="24"/>
        </w:rPr>
        <w:t xml:space="preserve">swered this question affirmatively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The CBSA did not appeal </w:t>
      </w:r>
      <w:r>
        <w:rPr>
          <w:rFonts w:ascii="Times New Roman" w:eastAsiaTheme="minorHAnsi" w:hAnsi="Times New Roman"/>
          <w:i/>
          <w:iCs/>
          <w:sz w:val="24"/>
          <w:szCs w:val="24"/>
        </w:rPr>
        <w:t>Frito-Lay</w:t>
      </w:r>
      <w:r>
        <w:rPr>
          <w:rFonts w:ascii="Times New Roman" w:eastAsiaTheme="minorHAnsi" w:hAnsi="Times New Roman"/>
          <w:sz w:val="24"/>
          <w:szCs w:val="24"/>
        </w:rPr>
        <w:t xml:space="preserve"> to the Federal Court of Appeal, yet it subsequently treated the importers in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i/>
          <w:iCs/>
          <w:sz w:val="24"/>
          <w:szCs w:val="24"/>
        </w:rPr>
        <w:t>EverGreen</w:t>
      </w:r>
      <w:proofErr w:type="spellEnd"/>
      <w:r>
        <w:rPr>
          <w:rFonts w:ascii="Times New Roman" w:eastAsiaTheme="minorHAnsi" w:hAnsi="Times New Roman"/>
          <w:sz w:val="24"/>
          <w:szCs w:val="24"/>
        </w:rPr>
        <w:t xml:space="preserve">, and </w:t>
      </w:r>
      <w:r>
        <w:rPr>
          <w:rFonts w:ascii="Times New Roman" w:eastAsiaTheme="minorHAnsi" w:hAnsi="Times New Roman"/>
          <w:i/>
          <w:iCs/>
          <w:sz w:val="24"/>
          <w:szCs w:val="24"/>
        </w:rPr>
        <w:t>Southern Pacific</w:t>
      </w:r>
      <w:r>
        <w:rPr>
          <w:rFonts w:ascii="Times New Roman" w:eastAsiaTheme="minorHAnsi" w:hAnsi="Times New Roman"/>
          <w:sz w:val="24"/>
          <w:szCs w:val="24"/>
        </w:rPr>
        <w:t xml:space="preserve"> as if the CITT had not reversed the CBSA decision in </w:t>
      </w:r>
      <w:r>
        <w:rPr>
          <w:rFonts w:ascii="Times New Roman" w:eastAsiaTheme="minorHAnsi" w:hAnsi="Times New Roman"/>
          <w:i/>
          <w:iCs/>
          <w:sz w:val="24"/>
          <w:szCs w:val="24"/>
        </w:rPr>
        <w:t>F</w:t>
      </w:r>
      <w:r>
        <w:rPr>
          <w:rFonts w:ascii="Times New Roman" w:eastAsiaTheme="minorHAnsi" w:hAnsi="Times New Roman"/>
          <w:i/>
          <w:iCs/>
          <w:sz w:val="24"/>
          <w:szCs w:val="24"/>
        </w:rPr>
        <w:t>rito-Lay</w:t>
      </w:r>
      <w:r>
        <w:rPr>
          <w:rFonts w:ascii="Times New Roman" w:eastAsiaTheme="minorHAnsi" w:hAnsi="Times New Roman"/>
          <w:sz w:val="24"/>
          <w:szCs w:val="24"/>
        </w:rPr>
        <w:t xml:space="preserve">. In allowing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appeals, the CITT found that the CBSA had engaged in an abuse of process by disregarding the CITT decision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and forcing the importers to re-litigate the previously established law.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lastRenderedPageBreak/>
        <w:t>The Gap – Post-impo</w:t>
      </w:r>
      <w:r>
        <w:rPr>
          <w:rFonts w:ascii="Times New Roman" w:eastAsiaTheme="minorHAnsi" w:hAnsi="Times New Roman"/>
          <w:b/>
          <w:bCs/>
          <w:sz w:val="28"/>
          <w:szCs w:val="28"/>
        </w:rPr>
        <w:t xml:space="preserve">rtation Corrections to Tariff Treatment Claims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Preferential tariff treatment is a function of the tariff classification under the Harmonized Tariff Schedule to the </w:t>
      </w:r>
      <w:r>
        <w:rPr>
          <w:rFonts w:ascii="Times New Roman" w:eastAsiaTheme="minorHAnsi" w:hAnsi="Times New Roman"/>
          <w:i/>
          <w:iCs/>
          <w:sz w:val="24"/>
          <w:szCs w:val="24"/>
        </w:rPr>
        <w:t>Customs Tariff</w:t>
      </w:r>
      <w:r>
        <w:rPr>
          <w:rFonts w:ascii="Times New Roman" w:eastAsiaTheme="minorHAnsi" w:hAnsi="Times New Roman"/>
          <w:sz w:val="24"/>
          <w:szCs w:val="24"/>
        </w:rPr>
        <w:t xml:space="preserve"> (HTS) and the origin of imported goods. The HTS is a 10-digit classification</w:t>
      </w:r>
      <w:r>
        <w:rPr>
          <w:rFonts w:ascii="Times New Roman" w:eastAsiaTheme="minorHAnsi" w:hAnsi="Times New Roman"/>
          <w:sz w:val="24"/>
          <w:szCs w:val="24"/>
        </w:rPr>
        <w:t xml:space="preserve"> system for goods in which classifications are paired with applicable rates of duty based on origin. The Most-</w:t>
      </w:r>
      <w:proofErr w:type="spellStart"/>
      <w:r>
        <w:rPr>
          <w:rFonts w:ascii="Times New Roman" w:eastAsiaTheme="minorHAnsi" w:hAnsi="Times New Roman"/>
          <w:sz w:val="24"/>
          <w:szCs w:val="24"/>
        </w:rPr>
        <w:t>Favoured</w:t>
      </w:r>
      <w:proofErr w:type="spellEnd"/>
      <w:r>
        <w:rPr>
          <w:rFonts w:ascii="Times New Roman" w:eastAsiaTheme="minorHAnsi" w:hAnsi="Times New Roman"/>
          <w:sz w:val="24"/>
          <w:szCs w:val="24"/>
        </w:rPr>
        <w:t xml:space="preserve"> Nation tariff treatment, also called the MFN duty rate, refers to the default duty rate imposed on the importation of goods, originating </w:t>
      </w:r>
      <w:r>
        <w:rPr>
          <w:rFonts w:ascii="Times New Roman" w:eastAsiaTheme="minorHAnsi" w:hAnsi="Times New Roman"/>
          <w:sz w:val="24"/>
          <w:szCs w:val="24"/>
        </w:rPr>
        <w:t xml:space="preserve">anywhere in the world with the exception of North Korea, that are not entitled to a tariff (rate) preference.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Canada’s free trade agreements provide preferential tariff treatment for a given HTS classification in the form of a lower (usually zero) duty ra</w:t>
      </w:r>
      <w:r>
        <w:rPr>
          <w:rFonts w:ascii="Times New Roman" w:eastAsiaTheme="minorHAnsi" w:hAnsi="Times New Roman"/>
          <w:sz w:val="24"/>
          <w:szCs w:val="24"/>
        </w:rPr>
        <w:t xml:space="preserve">te provided that the goods “originate” in the country that is a signatory to the free trade agreement. For example, under the </w:t>
      </w:r>
      <w:r>
        <w:rPr>
          <w:rFonts w:ascii="Times New Roman" w:eastAsiaTheme="minorHAnsi" w:hAnsi="Times New Roman"/>
          <w:i/>
          <w:iCs/>
          <w:sz w:val="24"/>
          <w:szCs w:val="24"/>
        </w:rPr>
        <w:t>North American Free Trade Agreement</w:t>
      </w:r>
      <w:r>
        <w:rPr>
          <w:rFonts w:ascii="Times New Roman" w:eastAsiaTheme="minorHAnsi" w:hAnsi="Times New Roman"/>
          <w:sz w:val="24"/>
          <w:szCs w:val="24"/>
        </w:rPr>
        <w:t xml:space="preserve"> (</w:t>
      </w:r>
      <w:r>
        <w:rPr>
          <w:rFonts w:ascii="Times New Roman" w:eastAsiaTheme="minorHAnsi" w:hAnsi="Times New Roman"/>
          <w:i/>
          <w:iCs/>
          <w:sz w:val="24"/>
          <w:szCs w:val="24"/>
        </w:rPr>
        <w:t>NAFTA</w:t>
      </w:r>
      <w:r>
        <w:rPr>
          <w:rFonts w:ascii="Times New Roman" w:eastAsiaTheme="minorHAnsi" w:hAnsi="Times New Roman"/>
          <w:sz w:val="24"/>
          <w:szCs w:val="24"/>
        </w:rPr>
        <w:t>), goods that originate in the U.S. qualify for duty-free tariff treatment under the Uni</w:t>
      </w:r>
      <w:r>
        <w:rPr>
          <w:rFonts w:ascii="Times New Roman" w:eastAsiaTheme="minorHAnsi" w:hAnsi="Times New Roman"/>
          <w:sz w:val="24"/>
          <w:szCs w:val="24"/>
        </w:rPr>
        <w:t xml:space="preserve">ted States Tariff (UST) when imported into Canada.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disputes in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and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arose from a failure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to address the question of whether an importer can make a revenue-neutral correction to its preferential tariff t</w:t>
      </w:r>
      <w:r>
        <w:rPr>
          <w:rFonts w:ascii="Times New Roman" w:eastAsiaTheme="minorHAnsi" w:hAnsi="Times New Roman"/>
          <w:sz w:val="24"/>
          <w:szCs w:val="24"/>
        </w:rPr>
        <w:t xml:space="preserve">reatment claim when it corrects a tariff classification declaration, in summary, a gap in the law. The CBSA erroneously interpreted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to close the gap against importer tariff preference interests, while the CITT interpretation </w:t>
      </w:r>
      <w:proofErr w:type="spellStart"/>
      <w:r>
        <w:rPr>
          <w:rFonts w:ascii="Times New Roman" w:eastAsiaTheme="minorHAnsi" w:hAnsi="Times New Roman"/>
          <w:sz w:val="24"/>
          <w:szCs w:val="24"/>
        </w:rPr>
        <w:t>favoured</w:t>
      </w:r>
      <w:proofErr w:type="spellEnd"/>
      <w:r>
        <w:rPr>
          <w:rFonts w:ascii="Times New Roman" w:eastAsiaTheme="minorHAnsi" w:hAnsi="Times New Roman"/>
          <w:sz w:val="24"/>
          <w:szCs w:val="24"/>
        </w:rPr>
        <w:t xml:space="preserve"> import</w:t>
      </w:r>
      <w:r>
        <w:rPr>
          <w:rFonts w:ascii="Times New Roman" w:eastAsiaTheme="minorHAnsi" w:hAnsi="Times New Roman"/>
          <w:sz w:val="24"/>
          <w:szCs w:val="24"/>
        </w:rPr>
        <w:t xml:space="preserve">er claims that imports remained entitled to duty-free treatment.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 xml:space="preserve">Post-importation Corrections to Customs Declarations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requires importers to self-assess and pay duties based on the tariff classification, origin, and value for duty of impor</w:t>
      </w:r>
      <w:r>
        <w:rPr>
          <w:rFonts w:ascii="Times New Roman" w:eastAsiaTheme="minorHAnsi" w:hAnsi="Times New Roman"/>
          <w:sz w:val="24"/>
          <w:szCs w:val="24"/>
        </w:rPr>
        <w:t xml:space="preserve">ted goods. Based on the tariff classification and origin of the goods, the importer claims a tariff treatment (MFN or preferential duty rate) that is applied to the value for duty of the imported goods to determine duties and GST owing to the CBSA.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Errors</w:t>
      </w:r>
      <w:r>
        <w:rPr>
          <w:rFonts w:ascii="Times New Roman" w:eastAsiaTheme="minorHAnsi" w:hAnsi="Times New Roman"/>
          <w:sz w:val="24"/>
          <w:szCs w:val="24"/>
        </w:rPr>
        <w:t xml:space="preserve"> to customs declarations are a fact of life for importers and their customs service providers.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treats the corrections of these errors differently depending on whether the correction results in a refund claim by the importer for overpayment </w:t>
      </w:r>
      <w:r>
        <w:rPr>
          <w:rFonts w:ascii="Times New Roman" w:eastAsiaTheme="minorHAnsi" w:hAnsi="Times New Roman"/>
          <w:sz w:val="24"/>
          <w:szCs w:val="24"/>
        </w:rPr>
        <w:t>of duties, duties owing to the CBSA because of an underpayment of duties, or a correction that does not affect the duty liability of the importer (</w:t>
      </w:r>
      <w:r>
        <w:rPr>
          <w:rFonts w:ascii="Times New Roman" w:eastAsiaTheme="minorHAnsi" w:hAnsi="Times New Roman"/>
          <w:i/>
          <w:iCs/>
          <w:sz w:val="24"/>
          <w:szCs w:val="24"/>
        </w:rPr>
        <w:t>i.e.</w:t>
      </w:r>
      <w:r>
        <w:rPr>
          <w:rFonts w:ascii="Times New Roman" w:eastAsiaTheme="minorHAnsi" w:hAnsi="Times New Roman"/>
          <w:sz w:val="24"/>
          <w:szCs w:val="24"/>
        </w:rPr>
        <w:t xml:space="preserve">, a revenue-neutral correction). An importer has the option of filing a refund claim under section 74 of </w:t>
      </w:r>
      <w:r>
        <w:rPr>
          <w:rFonts w:ascii="Times New Roman" w:eastAsiaTheme="minorHAnsi" w:hAnsi="Times New Roman"/>
          <w:sz w:val="24"/>
          <w:szCs w:val="24"/>
        </w:rPr>
        <w:t xml:space="preserve">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but is required to file corrections that result in duties owing or are revenue-neutral under section 32.2.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mischief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and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arose because of the inconsistent treatment of corrections to tariff treatment c</w:t>
      </w:r>
      <w:r>
        <w:rPr>
          <w:rFonts w:ascii="Times New Roman" w:eastAsiaTheme="minorHAnsi" w:hAnsi="Times New Roman"/>
          <w:sz w:val="24"/>
          <w:szCs w:val="24"/>
        </w:rPr>
        <w:t xml:space="preserve">laims under sections 74 and 32.2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Under section 74, an importer may file a refund claim for duties paid on goods that qualified for NAFTA tariff treatment within one year of the date of accounting for the imported goods.</w:t>
      </w:r>
      <w:r>
        <w:rPr>
          <w:rFonts w:ascii="Times New Roman" w:eastAsiaTheme="minorHAnsi" w:hAnsi="Times New Roman"/>
          <w:sz w:val="24"/>
          <w:szCs w:val="24"/>
          <w:vertAlign w:val="superscript"/>
        </w:rPr>
        <w:t>4</w:t>
      </w:r>
      <w:r>
        <w:rPr>
          <w:rFonts w:ascii="Times New Roman" w:eastAsiaTheme="minorHAnsi" w:hAnsi="Times New Roman"/>
          <w:sz w:val="24"/>
          <w:szCs w:val="24"/>
        </w:rPr>
        <w:t xml:space="preserve"> In contrast, s</w:t>
      </w:r>
      <w:r>
        <w:rPr>
          <w:rFonts w:ascii="Times New Roman" w:eastAsiaTheme="minorHAnsi" w:hAnsi="Times New Roman"/>
          <w:sz w:val="24"/>
          <w:szCs w:val="24"/>
        </w:rPr>
        <w:t xml:space="preserve">ection 32.2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does not require, or expressly permit, an importer to correct a tariff treatment claim. Corrections under section 32.2 are limited to declarations of origin, tariff classification and value for duty. Further, if the importer has “reason to believe” its cu</w:t>
      </w:r>
      <w:r>
        <w:rPr>
          <w:rFonts w:ascii="Times New Roman" w:eastAsiaTheme="minorHAnsi" w:hAnsi="Times New Roman"/>
          <w:sz w:val="24"/>
          <w:szCs w:val="24"/>
        </w:rPr>
        <w:t>stoms declarations are incorrect, it is required to correct its mistake for all importations within four years from the date of importation. It is implicit in section 32.2 that a correction to the origin or tariff classification of goods may result in a de</w:t>
      </w:r>
      <w:r>
        <w:rPr>
          <w:rFonts w:ascii="Times New Roman" w:eastAsiaTheme="minorHAnsi" w:hAnsi="Times New Roman"/>
          <w:sz w:val="24"/>
          <w:szCs w:val="24"/>
        </w:rPr>
        <w:t xml:space="preserve">nial of a preferential tariff treatment claim and that the importer will have to pay duties as a consequence. But section 32.2 does not explicitly provide for a revenue-neutral correction to a tariff treatment claim.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lastRenderedPageBreak/>
        <w:t>The absence of tariff treatment as a “</w:t>
      </w:r>
      <w:r>
        <w:rPr>
          <w:rFonts w:ascii="Times New Roman" w:eastAsiaTheme="minorHAnsi" w:hAnsi="Times New Roman"/>
          <w:sz w:val="24"/>
          <w:szCs w:val="24"/>
        </w:rPr>
        <w:t xml:space="preserve">correctable” element to a customs declaration in section 32.2 is consistent with the appeal provisions in sections 57 to 70 of the </w:t>
      </w:r>
      <w:r>
        <w:rPr>
          <w:rFonts w:ascii="Times New Roman" w:eastAsiaTheme="minorHAnsi" w:hAnsi="Times New Roman"/>
          <w:i/>
          <w:iCs/>
          <w:sz w:val="24"/>
          <w:szCs w:val="24"/>
        </w:rPr>
        <w:t>Customs Act</w:t>
      </w:r>
      <w:r>
        <w:rPr>
          <w:rFonts w:ascii="Times New Roman" w:eastAsiaTheme="minorHAnsi" w:hAnsi="Times New Roman"/>
          <w:sz w:val="24"/>
          <w:szCs w:val="24"/>
        </w:rPr>
        <w:t>, which apply regardless of whether the importer or the CBSA initiated the change to the customs declaration of im</w:t>
      </w:r>
      <w:r>
        <w:rPr>
          <w:rFonts w:ascii="Times New Roman" w:eastAsiaTheme="minorHAnsi" w:hAnsi="Times New Roman"/>
          <w:sz w:val="24"/>
          <w:szCs w:val="24"/>
        </w:rPr>
        <w:t xml:space="preserve">ported goods. These provisions apply narrowly to disputes between the CBSA and an importer over the marking, origin, tariff classification, value for duty of imported goods, as well as advance tariff classification rulings issued by the CBSA. This silence </w:t>
      </w:r>
      <w:r>
        <w:rPr>
          <w:rFonts w:ascii="Times New Roman" w:eastAsiaTheme="minorHAnsi" w:hAnsi="Times New Roman"/>
          <w:sz w:val="24"/>
          <w:szCs w:val="24"/>
        </w:rPr>
        <w:t xml:space="preserve">means that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does not provide a right to appeal tariff treatment claims.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In summary,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permits an importer to file for refunds based on a claim for NAFTA tariff treatment within one year of the importation of the goods, require</w:t>
      </w:r>
      <w:r>
        <w:rPr>
          <w:rFonts w:ascii="Times New Roman" w:eastAsiaTheme="minorHAnsi" w:hAnsi="Times New Roman"/>
          <w:sz w:val="24"/>
          <w:szCs w:val="24"/>
        </w:rPr>
        <w:t xml:space="preserve">s an importer to pay duties when it improperly claimed preferential tariff treatment based on incorrect declarations of origin and/or tariff classification, but does not address a revenue-neutral tariff treatment claim for imported goods.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The Trap – Impos</w:t>
      </w:r>
      <w:r>
        <w:rPr>
          <w:rFonts w:ascii="Times New Roman" w:eastAsiaTheme="minorHAnsi" w:hAnsi="Times New Roman"/>
          <w:b/>
          <w:bCs/>
          <w:sz w:val="28"/>
          <w:szCs w:val="28"/>
        </w:rPr>
        <w:t xml:space="preserve">ition of MFN Duties on NAFTA Qualifying Goods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gap in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on revenue-neutral corrections to tariff treatment may seem esoteric. But importers who have experienced the CBSA’s response to this gap have discovered its significant financial rep</w:t>
      </w:r>
      <w:r>
        <w:rPr>
          <w:rFonts w:ascii="Times New Roman" w:eastAsiaTheme="minorHAnsi" w:hAnsi="Times New Roman"/>
          <w:sz w:val="24"/>
          <w:szCs w:val="24"/>
        </w:rPr>
        <w:t xml:space="preserve">ercussions.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CBSA has interpreted the legislative gap as prohibiting an importer from making a revenue-neutral correction to a tariff treatment claim under section 32.2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with the effect that when an importer files concurrent revenue-n</w:t>
      </w:r>
      <w:r>
        <w:rPr>
          <w:rFonts w:ascii="Times New Roman" w:eastAsiaTheme="minorHAnsi" w:hAnsi="Times New Roman"/>
          <w:sz w:val="24"/>
          <w:szCs w:val="24"/>
        </w:rPr>
        <w:t xml:space="preserve">eutral tariff classification and tariff treatment corrections, the CBSA denies the tariff treatment correction and assesses duties on goods that otherwise qualify for a revenue-neutral duty-free treatment under the </w:t>
      </w:r>
      <w:r>
        <w:rPr>
          <w:rFonts w:ascii="Times New Roman" w:eastAsiaTheme="minorHAnsi" w:hAnsi="Times New Roman"/>
          <w:i/>
          <w:iCs/>
          <w:sz w:val="24"/>
          <w:szCs w:val="24"/>
        </w:rPr>
        <w:t>NAFTA</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neatly summa</w:t>
      </w:r>
      <w:r>
        <w:rPr>
          <w:rFonts w:ascii="Times New Roman" w:eastAsiaTheme="minorHAnsi" w:hAnsi="Times New Roman"/>
          <w:sz w:val="24"/>
          <w:szCs w:val="24"/>
        </w:rPr>
        <w:t xml:space="preserve">rizes the operation of the “trap” for the importer created by the CBSA’s interpretation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In each case, the goods were declared as originating in the U.S. Under the tariff classification originally declared by the importers, the MFN and </w:t>
      </w:r>
      <w:r>
        <w:rPr>
          <w:rFonts w:ascii="Times New Roman" w:eastAsiaTheme="minorHAnsi" w:hAnsi="Times New Roman"/>
          <w:i/>
          <w:iCs/>
          <w:sz w:val="24"/>
          <w:szCs w:val="24"/>
        </w:rPr>
        <w:t>N</w:t>
      </w:r>
      <w:r>
        <w:rPr>
          <w:rFonts w:ascii="Times New Roman" w:eastAsiaTheme="minorHAnsi" w:hAnsi="Times New Roman"/>
          <w:i/>
          <w:iCs/>
          <w:sz w:val="24"/>
          <w:szCs w:val="24"/>
        </w:rPr>
        <w:t>AFTA</w:t>
      </w:r>
      <w:r>
        <w:rPr>
          <w:rFonts w:ascii="Times New Roman" w:eastAsiaTheme="minorHAnsi" w:hAnsi="Times New Roman"/>
          <w:sz w:val="24"/>
          <w:szCs w:val="24"/>
        </w:rPr>
        <w:t xml:space="preserve"> tariff treatments were both duty-free and each importer claimed MFN. The importers thus paid no duties at the time of importation. Subsequently, the importers obtained “reason to believe” that their tariff classification declarations were incorrect.</w:t>
      </w:r>
      <w:r>
        <w:rPr>
          <w:rFonts w:ascii="Times New Roman" w:eastAsiaTheme="minorHAnsi" w:hAnsi="Times New Roman"/>
          <w:sz w:val="24"/>
          <w:szCs w:val="24"/>
          <w:vertAlign w:val="superscript"/>
        </w:rPr>
        <w:t>5</w:t>
      </w:r>
      <w:r>
        <w:rPr>
          <w:rFonts w:ascii="Times New Roman" w:eastAsiaTheme="minorHAnsi" w:hAnsi="Times New Roman"/>
          <w:sz w:val="24"/>
          <w:szCs w:val="24"/>
        </w:rPr>
        <w:t xml:space="preserve"> </w:t>
      </w:r>
      <w:r>
        <w:rPr>
          <w:rFonts w:ascii="Times New Roman" w:eastAsiaTheme="minorHAnsi" w:hAnsi="Times New Roman"/>
          <w:sz w:val="24"/>
          <w:szCs w:val="24"/>
        </w:rPr>
        <w:t xml:space="preserve">Under the corrected tariff classifications, the MFN duty rates ranged from four to eight percent while the equivalent </w:t>
      </w:r>
      <w:r>
        <w:rPr>
          <w:rFonts w:ascii="Times New Roman" w:eastAsiaTheme="minorHAnsi" w:hAnsi="Times New Roman"/>
          <w:i/>
          <w:iCs/>
          <w:sz w:val="24"/>
          <w:szCs w:val="24"/>
        </w:rPr>
        <w:t xml:space="preserve">NAFTA </w:t>
      </w:r>
      <w:r>
        <w:rPr>
          <w:rFonts w:ascii="Times New Roman" w:eastAsiaTheme="minorHAnsi" w:hAnsi="Times New Roman"/>
          <w:sz w:val="24"/>
          <w:szCs w:val="24"/>
        </w:rPr>
        <w:t xml:space="preserve">tariff treatments were of course duty-free. When the importers filed their required corrections under section 32.2 of the </w:t>
      </w:r>
      <w:r>
        <w:rPr>
          <w:rFonts w:ascii="Times New Roman" w:eastAsiaTheme="minorHAnsi" w:hAnsi="Times New Roman"/>
          <w:i/>
          <w:iCs/>
          <w:sz w:val="24"/>
          <w:szCs w:val="24"/>
        </w:rPr>
        <w:t>Customs Ac</w:t>
      </w:r>
      <w:r>
        <w:rPr>
          <w:rFonts w:ascii="Times New Roman" w:eastAsiaTheme="minorHAnsi" w:hAnsi="Times New Roman"/>
          <w:i/>
          <w:iCs/>
          <w:sz w:val="24"/>
          <w:szCs w:val="24"/>
        </w:rPr>
        <w:t>t</w:t>
      </w:r>
      <w:r>
        <w:rPr>
          <w:rFonts w:ascii="Times New Roman" w:eastAsiaTheme="minorHAnsi" w:hAnsi="Times New Roman"/>
          <w:sz w:val="24"/>
          <w:szCs w:val="24"/>
        </w:rPr>
        <w:t xml:space="preserve">, they claimed </w:t>
      </w:r>
      <w:r>
        <w:rPr>
          <w:rFonts w:ascii="Times New Roman" w:eastAsiaTheme="minorHAnsi" w:hAnsi="Times New Roman"/>
          <w:i/>
          <w:iCs/>
          <w:sz w:val="24"/>
          <w:szCs w:val="24"/>
        </w:rPr>
        <w:t>NAFTA</w:t>
      </w:r>
      <w:r>
        <w:rPr>
          <w:rFonts w:ascii="Times New Roman" w:eastAsiaTheme="minorHAnsi" w:hAnsi="Times New Roman"/>
          <w:sz w:val="24"/>
          <w:szCs w:val="24"/>
        </w:rPr>
        <w:t xml:space="preserve"> tariff treatment because the goods satisfied the rules of origin under </w:t>
      </w:r>
      <w:r>
        <w:rPr>
          <w:rFonts w:ascii="Times New Roman" w:eastAsiaTheme="minorHAnsi" w:hAnsi="Times New Roman"/>
          <w:i/>
          <w:iCs/>
          <w:sz w:val="24"/>
          <w:szCs w:val="24"/>
        </w:rPr>
        <w:t>NAFTA</w:t>
      </w:r>
      <w:r>
        <w:rPr>
          <w:rFonts w:ascii="Times New Roman" w:eastAsiaTheme="minorHAnsi" w:hAnsi="Times New Roman"/>
          <w:sz w:val="24"/>
          <w:szCs w:val="24"/>
        </w:rPr>
        <w:t xml:space="preserve"> relating to the correct classifications, with the result that the corrections were revenue-neutral; the importers claimed that no duties were owing to the CB</w:t>
      </w:r>
      <w:r>
        <w:rPr>
          <w:rFonts w:ascii="Times New Roman" w:eastAsiaTheme="minorHAnsi" w:hAnsi="Times New Roman"/>
          <w:sz w:val="24"/>
          <w:szCs w:val="24"/>
        </w:rPr>
        <w:t xml:space="preserve">SA.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In each case, the CBSA accepted the tariff classification correction but denied the tariff treatment claim, and required the importers to pay duties at the MFN rate. The importers were thus faced with a situation in which goods that should have been d</w:t>
      </w:r>
      <w:r>
        <w:rPr>
          <w:rFonts w:ascii="Times New Roman" w:eastAsiaTheme="minorHAnsi" w:hAnsi="Times New Roman"/>
          <w:sz w:val="24"/>
          <w:szCs w:val="24"/>
        </w:rPr>
        <w:t>uty-free had become dutiable owing to what should have been a revenue-neutral tariff classification error and their decision to originally account for the goods under MFN instead of UST tariff treatment. But that was not the end of the CBSA’s “administrati</w:t>
      </w:r>
      <w:r>
        <w:rPr>
          <w:rFonts w:ascii="Times New Roman" w:eastAsiaTheme="minorHAnsi" w:hAnsi="Times New Roman"/>
          <w:sz w:val="24"/>
          <w:szCs w:val="24"/>
        </w:rPr>
        <w:t xml:space="preserve">ve solution” to the legislative gap on revenue-neutral corrections to tariff treatment claims.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When the importers sought to appeal the CBSA’s rejection of their preferential tariff claims to the President of the CBSA under section 60(1)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the President refused to hear the appeals based on a lack of jurisdiction. In making these “non-decisions”, the President relied on the legislative gap: the absence of an importer’s right to appeal a CBSA decision on </w:t>
      </w:r>
      <w:r>
        <w:rPr>
          <w:rFonts w:ascii="Times New Roman" w:eastAsiaTheme="minorHAnsi" w:hAnsi="Times New Roman"/>
          <w:sz w:val="24"/>
          <w:szCs w:val="24"/>
        </w:rPr>
        <w:lastRenderedPageBreak/>
        <w:t>preferential tariff claims under sect</w:t>
      </w:r>
      <w:r>
        <w:rPr>
          <w:rFonts w:ascii="Times New Roman" w:eastAsiaTheme="minorHAnsi" w:hAnsi="Times New Roman"/>
          <w:sz w:val="24"/>
          <w:szCs w:val="24"/>
        </w:rPr>
        <w:t xml:space="preserve">ions 57 to 70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arising from a correction made under section 32.2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reader should keep in mind that the importers in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had filed their concurrent, revenue-neutral corrections to tariff classificati</w:t>
      </w:r>
      <w:r>
        <w:rPr>
          <w:rFonts w:ascii="Times New Roman" w:eastAsiaTheme="minorHAnsi" w:hAnsi="Times New Roman"/>
          <w:sz w:val="24"/>
          <w:szCs w:val="24"/>
        </w:rPr>
        <w:t xml:space="preserve">on and tariff treatment in reliance on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The importer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had been subject to identical treatment, including the President’s refusal to hear its appeal for lack of jurisdiction. The CITT granted the appeal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on both on the impo</w:t>
      </w:r>
      <w:r>
        <w:rPr>
          <w:rFonts w:ascii="Times New Roman" w:eastAsiaTheme="minorHAnsi" w:hAnsi="Times New Roman"/>
          <w:sz w:val="24"/>
          <w:szCs w:val="24"/>
        </w:rPr>
        <w:t xml:space="preserve">rter’s right to file revenue-neutral tariff treatment corrections and the President’s obligation to decide the subsequent appeal.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 xml:space="preserve">The </w:t>
      </w:r>
      <w:proofErr w:type="gramStart"/>
      <w:r>
        <w:rPr>
          <w:rFonts w:ascii="Times New Roman" w:eastAsiaTheme="minorHAnsi" w:hAnsi="Times New Roman"/>
          <w:b/>
          <w:bCs/>
          <w:sz w:val="28"/>
          <w:szCs w:val="28"/>
        </w:rPr>
        <w:t>Spring</w:t>
      </w:r>
      <w:proofErr w:type="gramEnd"/>
      <w:r>
        <w:rPr>
          <w:rFonts w:ascii="Times New Roman" w:eastAsiaTheme="minorHAnsi" w:hAnsi="Times New Roman"/>
          <w:b/>
          <w:bCs/>
          <w:sz w:val="28"/>
          <w:szCs w:val="28"/>
        </w:rPr>
        <w:t xml:space="preserve"> – Common Sense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importers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and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subsequently filed successful appeals with CITT under section 67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The President justified the denial of the tariff treatment corrections on the absence of tariff treatment as a “correctable” declaration under section 32.2 of th</w:t>
      </w:r>
      <w:r>
        <w:rPr>
          <w:rFonts w:ascii="Times New Roman" w:eastAsiaTheme="minorHAnsi" w:hAnsi="Times New Roman"/>
          <w:sz w:val="24"/>
          <w:szCs w:val="24"/>
        </w:rPr>
        <w:t xml:space="preserve">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and argued that the importers were therefore “stuck” with their original MFN tariff treatment claim. The President relied on the same argument to justify the President’s refusal to hear the appeals filed under section 60(1) and its assertion </w:t>
      </w:r>
      <w:r>
        <w:rPr>
          <w:rFonts w:ascii="Times New Roman" w:eastAsiaTheme="minorHAnsi" w:hAnsi="Times New Roman"/>
          <w:sz w:val="24"/>
          <w:szCs w:val="24"/>
        </w:rPr>
        <w:t xml:space="preserve">that the CITT had no jurisdiction to hear the appeals because "tariff treatment" is not a ground of appeal under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CBSA also acknowledged that its interpretation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meant that importers should always claim </w:t>
      </w:r>
      <w:r>
        <w:rPr>
          <w:rFonts w:ascii="Times New Roman" w:eastAsiaTheme="minorHAnsi" w:hAnsi="Times New Roman"/>
          <w:i/>
          <w:iCs/>
          <w:sz w:val="24"/>
          <w:szCs w:val="24"/>
        </w:rPr>
        <w:t>NAFTA</w:t>
      </w:r>
      <w:r>
        <w:rPr>
          <w:rFonts w:ascii="Times New Roman" w:eastAsiaTheme="minorHAnsi" w:hAnsi="Times New Roman"/>
          <w:sz w:val="24"/>
          <w:szCs w:val="24"/>
        </w:rPr>
        <w:t xml:space="preserve"> tariff t</w:t>
      </w:r>
      <w:r>
        <w:rPr>
          <w:rFonts w:ascii="Times New Roman" w:eastAsiaTheme="minorHAnsi" w:hAnsi="Times New Roman"/>
          <w:sz w:val="24"/>
          <w:szCs w:val="24"/>
        </w:rPr>
        <w:t>reatment, even if the MFN rate was duty-free, and incur the associated administrative costs, just in case their tariff classification declarations were incorrect. This policy ignores the concern of importers that unnecessary claims of preferential tariff t</w:t>
      </w:r>
      <w:r>
        <w:rPr>
          <w:rFonts w:ascii="Times New Roman" w:eastAsiaTheme="minorHAnsi" w:hAnsi="Times New Roman"/>
          <w:sz w:val="24"/>
          <w:szCs w:val="24"/>
        </w:rPr>
        <w:t>reatment might attract expensive and distracting trade verifications for no useful purpose.</w:t>
      </w:r>
      <w:r>
        <w:rPr>
          <w:rFonts w:ascii="Times New Roman" w:eastAsiaTheme="minorHAnsi" w:hAnsi="Times New Roman"/>
          <w:sz w:val="24"/>
          <w:szCs w:val="24"/>
          <w:vertAlign w:val="superscript"/>
        </w:rPr>
        <w:t>6</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CITT found that the CBSA’s positions were unsupported by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and absurd in their consequences to the importer. Whereas the CBSA applied a narrow in</w:t>
      </w:r>
      <w:r>
        <w:rPr>
          <w:rFonts w:ascii="Times New Roman" w:eastAsiaTheme="minorHAnsi" w:hAnsi="Times New Roman"/>
          <w:sz w:val="24"/>
          <w:szCs w:val="24"/>
        </w:rPr>
        <w:t xml:space="preserve">terpretation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the CITT interpreted section 32.2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in light of the commercial reality of tariff treatment claims and the purposes of preferential tariff treatment in free trade agreements.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The CITT characterized the CBSA</w:t>
      </w:r>
      <w:r>
        <w:rPr>
          <w:rFonts w:ascii="Times New Roman" w:eastAsiaTheme="minorHAnsi" w:hAnsi="Times New Roman"/>
          <w:sz w:val="24"/>
          <w:szCs w:val="24"/>
        </w:rPr>
        <w:t xml:space="preserve">’s argument that the importer was “stuck” with an </w:t>
      </w:r>
      <w:proofErr w:type="spellStart"/>
      <w:r>
        <w:rPr>
          <w:rFonts w:ascii="Times New Roman" w:eastAsiaTheme="minorHAnsi" w:hAnsi="Times New Roman"/>
          <w:sz w:val="24"/>
          <w:szCs w:val="24"/>
        </w:rPr>
        <w:t>unfavourable</w:t>
      </w:r>
      <w:proofErr w:type="spellEnd"/>
      <w:r>
        <w:rPr>
          <w:rFonts w:ascii="Times New Roman" w:eastAsiaTheme="minorHAnsi" w:hAnsi="Times New Roman"/>
          <w:sz w:val="24"/>
          <w:szCs w:val="24"/>
        </w:rPr>
        <w:t xml:space="preserve"> but “not incorrect” MFN claim following a tariff classification correction as “at best bureaucratically narrow-minded; at worst, it is entirely misleading if not underhanded, and it is also bes</w:t>
      </w:r>
      <w:r>
        <w:rPr>
          <w:rFonts w:ascii="Times New Roman" w:eastAsiaTheme="minorHAnsi" w:hAnsi="Times New Roman"/>
          <w:sz w:val="24"/>
          <w:szCs w:val="24"/>
        </w:rPr>
        <w:t>ide the point.” The CITT stated that the CBSA ignored the commercial reality that importers will avoid the additional expense of claiming a preferential tariff treatment when the MFN duty rate is zero. In the CITT’s view, forcing the importer to claim a pr</w:t>
      </w:r>
      <w:r>
        <w:rPr>
          <w:rFonts w:ascii="Times New Roman" w:eastAsiaTheme="minorHAnsi" w:hAnsi="Times New Roman"/>
          <w:sz w:val="24"/>
          <w:szCs w:val="24"/>
        </w:rPr>
        <w:t>eferential tariff treatment when the MFN rate is zero imposes a needless administrative burden that defeats the purpose of free trade agreements: the encouragement and facilitation of the importation of goods originating in the territory of a free trade pa</w:t>
      </w:r>
      <w:r>
        <w:rPr>
          <w:rFonts w:ascii="Times New Roman" w:eastAsiaTheme="minorHAnsi" w:hAnsi="Times New Roman"/>
          <w:sz w:val="24"/>
          <w:szCs w:val="24"/>
        </w:rPr>
        <w:t xml:space="preserve">rtner.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CITT rightly pointed out that the CBSA’s insistence that the MFN tariff treatment declarations were not “incorrect” was irrelevant because tariff treatment is not independently subject to correction under section 32.2 of the </w:t>
      </w:r>
      <w:r>
        <w:rPr>
          <w:rFonts w:ascii="Times New Roman" w:eastAsiaTheme="minorHAnsi" w:hAnsi="Times New Roman"/>
          <w:i/>
          <w:iCs/>
          <w:sz w:val="24"/>
          <w:szCs w:val="24"/>
        </w:rPr>
        <w:t>Customs Act</w:t>
      </w:r>
      <w:r>
        <w:rPr>
          <w:rFonts w:ascii="Times New Roman" w:eastAsiaTheme="minorHAnsi" w:hAnsi="Times New Roman"/>
          <w:sz w:val="24"/>
          <w:szCs w:val="24"/>
        </w:rPr>
        <w:t>. The CI</w:t>
      </w:r>
      <w:r>
        <w:rPr>
          <w:rFonts w:ascii="Times New Roman" w:eastAsiaTheme="minorHAnsi" w:hAnsi="Times New Roman"/>
          <w:sz w:val="24"/>
          <w:szCs w:val="24"/>
        </w:rPr>
        <w:t>TT identified the relevant analytical starting points for corrections to tariff treatment under section 32.2 as tariff classification and origin. In the CITT’s view, a tariff classification correction permitted the importer to revise its tariff treatment c</w:t>
      </w:r>
      <w:r>
        <w:rPr>
          <w:rFonts w:ascii="Times New Roman" w:eastAsiaTheme="minorHAnsi" w:hAnsi="Times New Roman"/>
          <w:sz w:val="24"/>
          <w:szCs w:val="24"/>
        </w:rPr>
        <w:t xml:space="preserve">laim because tariff treatment is a product of tariff classification and origin. It follows that if the tariff classification of goods changed, the importer </w:t>
      </w:r>
      <w:r>
        <w:rPr>
          <w:rFonts w:ascii="Times New Roman" w:eastAsiaTheme="minorHAnsi" w:hAnsi="Times New Roman"/>
          <w:sz w:val="24"/>
          <w:szCs w:val="24"/>
        </w:rPr>
        <w:lastRenderedPageBreak/>
        <w:t>can make the appropriate adjustment to the tariff treatment claim to maintain the revenue-neutral ef</w:t>
      </w:r>
      <w:r>
        <w:rPr>
          <w:rFonts w:ascii="Times New Roman" w:eastAsiaTheme="minorHAnsi" w:hAnsi="Times New Roman"/>
          <w:sz w:val="24"/>
          <w:szCs w:val="24"/>
        </w:rPr>
        <w:t xml:space="preserve">fect of the correction.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Another perspective on the CITT’s reasoning is that if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does not explicitly allow an importer to make a revenue-neutral tariff treatment correction, it also does not explicitly allow the CBSA to interfere with a reve</w:t>
      </w:r>
      <w:r>
        <w:rPr>
          <w:rFonts w:ascii="Times New Roman" w:eastAsiaTheme="minorHAnsi" w:hAnsi="Times New Roman"/>
          <w:sz w:val="24"/>
          <w:szCs w:val="24"/>
        </w:rPr>
        <w:t>nue-neutral tariff treatment claim unless it re-determines the origin of the goods declared by the importer. The CITT emphasized that the CBSA had not challenged the importers’ declarations that the goods were of U.S. origin and therefore that the goods we</w:t>
      </w:r>
      <w:r>
        <w:rPr>
          <w:rFonts w:ascii="Times New Roman" w:eastAsiaTheme="minorHAnsi" w:hAnsi="Times New Roman"/>
          <w:sz w:val="24"/>
          <w:szCs w:val="24"/>
        </w:rPr>
        <w:t xml:space="preserve">re always entitled to </w:t>
      </w:r>
      <w:r>
        <w:rPr>
          <w:rFonts w:ascii="Times New Roman" w:eastAsiaTheme="minorHAnsi" w:hAnsi="Times New Roman"/>
          <w:i/>
          <w:iCs/>
          <w:sz w:val="24"/>
          <w:szCs w:val="24"/>
        </w:rPr>
        <w:t>NAFTA</w:t>
      </w:r>
      <w:r>
        <w:rPr>
          <w:rFonts w:ascii="Times New Roman" w:eastAsiaTheme="minorHAnsi" w:hAnsi="Times New Roman"/>
          <w:sz w:val="24"/>
          <w:szCs w:val="24"/>
        </w:rPr>
        <w:t xml:space="preserve"> tariff treatment.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In the CITT's view, nothing in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prohibited the importer from revisiting its tariff treatment claim. While the CBSA inferred from the legislative gap that revenue-neutral tariff treatment claim c</w:t>
      </w:r>
      <w:r>
        <w:rPr>
          <w:rFonts w:ascii="Times New Roman" w:eastAsiaTheme="minorHAnsi" w:hAnsi="Times New Roman"/>
          <w:sz w:val="24"/>
          <w:szCs w:val="24"/>
        </w:rPr>
        <w:t xml:space="preserve">orrections are prohibited, the CITT drew the opposite inference.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 xml:space="preserve">Precedent is </w:t>
      </w:r>
      <w:proofErr w:type="gramStart"/>
      <w:r>
        <w:rPr>
          <w:rFonts w:ascii="Times New Roman" w:eastAsiaTheme="minorHAnsi" w:hAnsi="Times New Roman"/>
          <w:b/>
          <w:bCs/>
          <w:sz w:val="28"/>
          <w:szCs w:val="28"/>
        </w:rPr>
        <w:t>Binding</w:t>
      </w:r>
      <w:proofErr w:type="gramEnd"/>
      <w:r>
        <w:rPr>
          <w:rFonts w:ascii="Times New Roman" w:eastAsiaTheme="minorHAnsi" w:hAnsi="Times New Roman"/>
          <w:b/>
          <w:bCs/>
          <w:sz w:val="28"/>
          <w:szCs w:val="28"/>
        </w:rPr>
        <w:t xml:space="preserve">: the Rule of Law Resides in Canadian Customs Disputes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Up to this point, we have purposely not distinguished between the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and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decisions because</w:t>
      </w:r>
      <w:r>
        <w:rPr>
          <w:rFonts w:ascii="Times New Roman" w:eastAsiaTheme="minorHAnsi" w:hAnsi="Times New Roman"/>
          <w:sz w:val="24"/>
          <w:szCs w:val="24"/>
        </w:rPr>
        <w:t xml:space="preserve"> the core issues of law and fact in those cases are essentially the same.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statement of reasons for the decisions in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and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are distinguishable in that the former contains a sharp reprimand to the CBSA for challenging the CITT's</w:t>
      </w:r>
      <w:r>
        <w:rPr>
          <w:rFonts w:ascii="Times New Roman" w:eastAsiaTheme="minorHAnsi" w:hAnsi="Times New Roman"/>
          <w:sz w:val="24"/>
          <w:szCs w:val="24"/>
        </w:rPr>
        <w:t xml:space="preserve"> statutory authority. The CITT characterized the CBSA's actions as "unprecedented", "perhaps contemptible" and left no doubt that it would have sanctioned the CBSA for its actions if it had the authority to do so under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The CBSA's policy d</w:t>
      </w:r>
      <w:r>
        <w:rPr>
          <w:rFonts w:ascii="Times New Roman" w:eastAsiaTheme="minorHAnsi" w:hAnsi="Times New Roman"/>
          <w:sz w:val="24"/>
          <w:szCs w:val="24"/>
        </w:rPr>
        <w:t xml:space="preserve">ecision to disregard </w:t>
      </w:r>
      <w:r>
        <w:rPr>
          <w:rFonts w:ascii="Times New Roman" w:eastAsiaTheme="minorHAnsi" w:hAnsi="Times New Roman"/>
          <w:i/>
          <w:iCs/>
          <w:sz w:val="24"/>
          <w:szCs w:val="24"/>
        </w:rPr>
        <w:t>Frito-Lay</w:t>
      </w:r>
      <w:r>
        <w:rPr>
          <w:rFonts w:ascii="Times New Roman" w:eastAsiaTheme="minorHAnsi" w:hAnsi="Times New Roman"/>
          <w:sz w:val="24"/>
          <w:szCs w:val="24"/>
        </w:rPr>
        <w:t xml:space="preserve"> left the CITT with arguably no choice other than to declare that the CBSA had engaged in an abuse of process by undermining the rule of law and public confidence in the administration of justice. While the abuse of process fi</w:t>
      </w:r>
      <w:r>
        <w:rPr>
          <w:rFonts w:ascii="Times New Roman" w:eastAsiaTheme="minorHAnsi" w:hAnsi="Times New Roman"/>
          <w:sz w:val="24"/>
          <w:szCs w:val="24"/>
        </w:rPr>
        <w:t xml:space="preserve">nding provided no tangible remedy to the importers in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the CITT asserted its jurisdictional supremacy over the CBSA.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is ultimately about the CBSA’s duty to apply existing CITT decisions to subsequent cases that rai</w:t>
      </w:r>
      <w:r>
        <w:rPr>
          <w:rFonts w:ascii="Times New Roman" w:eastAsiaTheme="minorHAnsi" w:hAnsi="Times New Roman"/>
          <w:sz w:val="24"/>
          <w:szCs w:val="24"/>
        </w:rPr>
        <w:t xml:space="preserve">se the same issues of law and mixed fact and law in accordance with the doctrine of precedent. It is certain to become a leading authority in future litigation under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leaves little room to challenge the proposition that the CBSA is bound to follow CITT decisions made under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unless they are overturned by either the Federal Court of Appeal or the Supreme Court of Canada. The CBSA did not appeal </w:t>
      </w:r>
      <w:r>
        <w:rPr>
          <w:rFonts w:ascii="Times New Roman" w:eastAsiaTheme="minorHAnsi" w:hAnsi="Times New Roman"/>
          <w:i/>
          <w:iCs/>
          <w:sz w:val="24"/>
          <w:szCs w:val="24"/>
        </w:rPr>
        <w:t>Frito-Lay</w:t>
      </w:r>
      <w:r>
        <w:rPr>
          <w:rFonts w:ascii="Times New Roman" w:eastAsiaTheme="minorHAnsi" w:hAnsi="Times New Roman"/>
          <w:sz w:val="24"/>
          <w:szCs w:val="24"/>
        </w:rPr>
        <w:t xml:space="preserve"> t</w:t>
      </w:r>
      <w:r>
        <w:rPr>
          <w:rFonts w:ascii="Times New Roman" w:eastAsiaTheme="minorHAnsi" w:hAnsi="Times New Roman"/>
          <w:sz w:val="24"/>
          <w:szCs w:val="24"/>
        </w:rPr>
        <w:t xml:space="preserve">o the Federal Court of Appeal, and that should have been the end of the litigation on the legal issues addressed. Yet the CBSA decided it would not follow the law established by the CITT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presumably because it was of the view that </w:t>
      </w:r>
      <w:r>
        <w:rPr>
          <w:rFonts w:ascii="Times New Roman" w:eastAsiaTheme="minorHAnsi" w:hAnsi="Times New Roman"/>
          <w:i/>
          <w:iCs/>
          <w:sz w:val="24"/>
          <w:szCs w:val="24"/>
        </w:rPr>
        <w:t>Frito-Lay</w:t>
      </w:r>
      <w:r>
        <w:rPr>
          <w:rFonts w:ascii="Times New Roman" w:eastAsiaTheme="minorHAnsi" w:hAnsi="Times New Roman"/>
          <w:sz w:val="24"/>
          <w:szCs w:val="24"/>
        </w:rPr>
        <w:t>, li</w:t>
      </w:r>
      <w:r>
        <w:rPr>
          <w:rFonts w:ascii="Times New Roman" w:eastAsiaTheme="minorHAnsi" w:hAnsi="Times New Roman"/>
          <w:sz w:val="24"/>
          <w:szCs w:val="24"/>
        </w:rPr>
        <w:t xml:space="preserve">ke all decisions of the CITT, applied only to the narrow dispute it decided. The CITT corrected this view in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absent distinction on the facts, the CBSA is bound to apply CITT decisions when the same legal issues arise in its administra</w:t>
      </w:r>
      <w:r>
        <w:rPr>
          <w:rFonts w:ascii="Times New Roman" w:eastAsiaTheme="minorHAnsi" w:hAnsi="Times New Roman"/>
          <w:sz w:val="24"/>
          <w:szCs w:val="24"/>
        </w:rPr>
        <w:t xml:space="preserve">tion and enforcement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If the CBSA wishes to challenge the CITT's disposition of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its only option is to appeal those decisions to the Federal Court of Appeal.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It remains to be seen how the CBSA will react to the CITT</w:t>
      </w:r>
      <w:r>
        <w:rPr>
          <w:rFonts w:ascii="Times New Roman" w:eastAsiaTheme="minorHAnsi" w:hAnsi="Times New Roman"/>
          <w:sz w:val="24"/>
          <w:szCs w:val="24"/>
        </w:rPr>
        <w:t xml:space="preserve">'s view of the scope of its appellate authority over the President. Following precedent in an administrative law context requires complex legal analysis. The doctrine of precedent (also known by its Latin appellation, </w:t>
      </w:r>
      <w:r>
        <w:rPr>
          <w:rFonts w:ascii="Times New Roman" w:eastAsiaTheme="minorHAnsi" w:hAnsi="Times New Roman"/>
          <w:i/>
          <w:iCs/>
          <w:sz w:val="24"/>
          <w:szCs w:val="24"/>
        </w:rPr>
        <w:t>stare decisis</w:t>
      </w:r>
      <w:r>
        <w:rPr>
          <w:rFonts w:ascii="Times New Roman" w:eastAsiaTheme="minorHAnsi" w:hAnsi="Times New Roman"/>
          <w:sz w:val="24"/>
          <w:szCs w:val="24"/>
        </w:rPr>
        <w:t xml:space="preserve">) requires lower courts, </w:t>
      </w:r>
      <w:r>
        <w:rPr>
          <w:rFonts w:ascii="Times New Roman" w:eastAsiaTheme="minorHAnsi" w:hAnsi="Times New Roman"/>
          <w:sz w:val="24"/>
          <w:szCs w:val="24"/>
        </w:rPr>
        <w:t xml:space="preserve">and administrative-decision makers like the CBSA, to follow the decisions of higher courts, such as the CITT. The precedential value of a decision, however, is </w:t>
      </w:r>
      <w:r>
        <w:rPr>
          <w:rFonts w:ascii="Times New Roman" w:eastAsiaTheme="minorHAnsi" w:hAnsi="Times New Roman"/>
          <w:sz w:val="24"/>
          <w:szCs w:val="24"/>
        </w:rPr>
        <w:lastRenderedPageBreak/>
        <w:t>limited to the issues of law and mixed fact and law that were decided to resolve the decision (i</w:t>
      </w:r>
      <w:r>
        <w:rPr>
          <w:rFonts w:ascii="Times New Roman" w:eastAsiaTheme="minorHAnsi" w:hAnsi="Times New Roman"/>
          <w:sz w:val="24"/>
          <w:szCs w:val="24"/>
        </w:rPr>
        <w:t xml:space="preserve">n Latin, the </w:t>
      </w:r>
      <w:r>
        <w:rPr>
          <w:rFonts w:ascii="Times New Roman" w:eastAsiaTheme="minorHAnsi" w:hAnsi="Times New Roman"/>
          <w:i/>
          <w:iCs/>
          <w:sz w:val="24"/>
          <w:szCs w:val="24"/>
        </w:rPr>
        <w:t xml:space="preserve">ratio </w:t>
      </w:r>
      <w:proofErr w:type="spellStart"/>
      <w:r>
        <w:rPr>
          <w:rFonts w:ascii="Times New Roman" w:eastAsiaTheme="minorHAnsi" w:hAnsi="Times New Roman"/>
          <w:i/>
          <w:iCs/>
          <w:sz w:val="24"/>
          <w:szCs w:val="24"/>
        </w:rPr>
        <w:t>decidendi</w:t>
      </w:r>
      <w:proofErr w:type="spellEnd"/>
      <w:r>
        <w:rPr>
          <w:rFonts w:ascii="Times New Roman" w:eastAsiaTheme="minorHAnsi" w:hAnsi="Times New Roman"/>
          <w:sz w:val="24"/>
          <w:szCs w:val="24"/>
        </w:rPr>
        <w:t xml:space="preserve">). All other statements are considered non-binding (and are called </w:t>
      </w:r>
      <w:r>
        <w:rPr>
          <w:rFonts w:ascii="Times New Roman" w:eastAsiaTheme="minorHAnsi" w:hAnsi="Times New Roman"/>
          <w:i/>
          <w:iCs/>
          <w:sz w:val="24"/>
          <w:szCs w:val="24"/>
        </w:rPr>
        <w:t>obiter dicta</w:t>
      </w:r>
      <w:r>
        <w:rPr>
          <w:rFonts w:ascii="Times New Roman" w:eastAsiaTheme="minorHAnsi" w:hAnsi="Times New Roman"/>
          <w:sz w:val="24"/>
          <w:szCs w:val="24"/>
        </w:rPr>
        <w:t xml:space="preserve">). Difficulties distinguishing between the </w:t>
      </w:r>
      <w:r>
        <w:rPr>
          <w:rFonts w:ascii="Times New Roman" w:eastAsiaTheme="minorHAnsi" w:hAnsi="Times New Roman"/>
          <w:i/>
          <w:iCs/>
          <w:sz w:val="24"/>
          <w:szCs w:val="24"/>
        </w:rPr>
        <w:t>ratio</w:t>
      </w:r>
      <w:r>
        <w:rPr>
          <w:rFonts w:ascii="Times New Roman" w:eastAsiaTheme="minorHAnsi" w:hAnsi="Times New Roman"/>
          <w:sz w:val="24"/>
          <w:szCs w:val="24"/>
        </w:rPr>
        <w:t xml:space="preserve"> and </w:t>
      </w:r>
      <w:r>
        <w:rPr>
          <w:rFonts w:ascii="Times New Roman" w:eastAsiaTheme="minorHAnsi" w:hAnsi="Times New Roman"/>
          <w:i/>
          <w:iCs/>
          <w:sz w:val="24"/>
          <w:szCs w:val="24"/>
        </w:rPr>
        <w:t>obiter</w:t>
      </w:r>
      <w:r>
        <w:rPr>
          <w:rFonts w:ascii="Times New Roman" w:eastAsiaTheme="minorHAnsi" w:hAnsi="Times New Roman"/>
          <w:sz w:val="24"/>
          <w:szCs w:val="24"/>
        </w:rPr>
        <w:t xml:space="preserve"> will likely challenge the CBSA. Courts often avoid precedential decisions by distinguishi</w:t>
      </w:r>
      <w:r>
        <w:rPr>
          <w:rFonts w:ascii="Times New Roman" w:eastAsiaTheme="minorHAnsi" w:hAnsi="Times New Roman"/>
          <w:sz w:val="24"/>
          <w:szCs w:val="24"/>
        </w:rPr>
        <w:t xml:space="preserve">ng the facts or the applicable law in a precedent case from the case at hand.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The affirmation that the CBSA is bound by the CITT's decisions is welcome and greatly increases the value of past CITT decisions and certainty in the importing community. But ca</w:t>
      </w:r>
      <w:r>
        <w:rPr>
          <w:rFonts w:ascii="Times New Roman" w:eastAsiaTheme="minorHAnsi" w:hAnsi="Times New Roman"/>
          <w:sz w:val="24"/>
          <w:szCs w:val="24"/>
        </w:rPr>
        <w:t xml:space="preserve">reful analysis is required to determine whether or not a given statement has precedential value. Importers and their service providers would be well advised to consult with Canadian trade law </w:t>
      </w:r>
      <w:proofErr w:type="gramStart"/>
      <w:r>
        <w:rPr>
          <w:rFonts w:ascii="Times New Roman" w:eastAsiaTheme="minorHAnsi" w:hAnsi="Times New Roman"/>
          <w:sz w:val="24"/>
          <w:szCs w:val="24"/>
        </w:rPr>
        <w:t>counsel, who are</w:t>
      </w:r>
      <w:proofErr w:type="gramEnd"/>
      <w:r>
        <w:rPr>
          <w:rFonts w:ascii="Times New Roman" w:eastAsiaTheme="minorHAnsi" w:hAnsi="Times New Roman"/>
          <w:sz w:val="24"/>
          <w:szCs w:val="24"/>
        </w:rPr>
        <w:t xml:space="preserve"> trained in the deconstruction of decisions to d</w:t>
      </w:r>
      <w:r>
        <w:rPr>
          <w:rFonts w:ascii="Times New Roman" w:eastAsiaTheme="minorHAnsi" w:hAnsi="Times New Roman"/>
          <w:sz w:val="24"/>
          <w:szCs w:val="24"/>
        </w:rPr>
        <w:t xml:space="preserve">istill precedents that can reliably inform decisions around customs declarations and the resolution of disputes with the CBSA at an early stage.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 xml:space="preserve">The Wrap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Subject to appeal or legislative amendment,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definitively resolves the issue of </w:t>
      </w:r>
      <w:r>
        <w:rPr>
          <w:rFonts w:ascii="Times New Roman" w:eastAsiaTheme="minorHAnsi" w:hAnsi="Times New Roman"/>
          <w:sz w:val="24"/>
          <w:szCs w:val="24"/>
        </w:rPr>
        <w:t>the importer’s ability to claim preferential tariff treatment when it files a revenue-neutral correction of a tariff classification and the Tribunal’s jurisdiction to hear appeals of tariff treatment claims. What remains to be seen is how the CBSA responds</w:t>
      </w:r>
      <w:r>
        <w:rPr>
          <w:rFonts w:ascii="Times New Roman" w:eastAsiaTheme="minorHAnsi" w:hAnsi="Times New Roman"/>
          <w:sz w:val="24"/>
          <w:szCs w:val="24"/>
        </w:rPr>
        <w:t xml:space="preserve"> to the CITT’s admonition in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to follow its decisions. </w:t>
      </w:r>
    </w:p>
    <w:p w:rsidR="006C4C6F" w:rsidRDefault="009D0ABF">
      <w:pPr>
        <w:keepNext/>
        <w:autoSpaceDE w:val="0"/>
        <w:autoSpaceDN w:val="0"/>
        <w:adjustRightInd w:val="0"/>
        <w:spacing w:before="100" w:after="100"/>
        <w:outlineLvl w:val="3"/>
        <w:rPr>
          <w:rFonts w:ascii="Times New Roman" w:eastAsiaTheme="minorHAnsi" w:hAnsi="Times New Roman"/>
          <w:b/>
          <w:bCs/>
          <w:sz w:val="28"/>
          <w:szCs w:val="28"/>
        </w:rPr>
      </w:pPr>
      <w:r>
        <w:rPr>
          <w:rFonts w:ascii="Times New Roman" w:eastAsiaTheme="minorHAnsi" w:hAnsi="Times New Roman"/>
          <w:b/>
          <w:bCs/>
          <w:sz w:val="28"/>
          <w:szCs w:val="28"/>
        </w:rPr>
        <w:t xml:space="preserve">The Bonus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Following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an important question is the existence of a remedy available to importers who did not appeal the CBSA’s denial of their revenue-neutral t</w:t>
      </w:r>
      <w:r>
        <w:rPr>
          <w:rFonts w:ascii="Times New Roman" w:eastAsiaTheme="minorHAnsi" w:hAnsi="Times New Roman"/>
          <w:sz w:val="24"/>
          <w:szCs w:val="24"/>
        </w:rPr>
        <w:t xml:space="preserve">ariff treatment claims after the CITT issued its reasons in </w:t>
      </w:r>
      <w:r>
        <w:rPr>
          <w:rFonts w:ascii="Times New Roman" w:eastAsiaTheme="minorHAnsi" w:hAnsi="Times New Roman"/>
          <w:i/>
          <w:iCs/>
          <w:sz w:val="24"/>
          <w:szCs w:val="24"/>
        </w:rPr>
        <w:t>Frito-Lay</w:t>
      </w:r>
      <w:r>
        <w:rPr>
          <w:rFonts w:ascii="Times New Roman" w:eastAsiaTheme="minorHAnsi" w:hAnsi="Times New Roman"/>
          <w:sz w:val="24"/>
          <w:szCs w:val="24"/>
        </w:rPr>
        <w:t xml:space="preserve"> on January 8, 2013. The effect of the CBSA’s disregard for </w:t>
      </w:r>
      <w:r>
        <w:rPr>
          <w:rFonts w:ascii="Times New Roman" w:eastAsiaTheme="minorHAnsi" w:hAnsi="Times New Roman"/>
          <w:i/>
          <w:iCs/>
          <w:sz w:val="24"/>
          <w:szCs w:val="24"/>
        </w:rPr>
        <w:t>Frito-Lay</w:t>
      </w:r>
      <w:r>
        <w:rPr>
          <w:rFonts w:ascii="Times New Roman" w:eastAsiaTheme="minorHAnsi" w:hAnsi="Times New Roman"/>
          <w:sz w:val="24"/>
          <w:szCs w:val="24"/>
        </w:rPr>
        <w:t xml:space="preserve"> was that it assessed duties on goods that would have been duty-free had the CBSA allowed the preferential tariff trea</w:t>
      </w:r>
      <w:r>
        <w:rPr>
          <w:rFonts w:ascii="Times New Roman" w:eastAsiaTheme="minorHAnsi" w:hAnsi="Times New Roman"/>
          <w:sz w:val="24"/>
          <w:szCs w:val="24"/>
        </w:rPr>
        <w:t xml:space="preserve">tment claim. Normally, these appeals would be time-barred by the 90 day limitation periods to appeal decisions by the CBSA to either the President or decisions by the President to the CITT. But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provides a mechanism for an importer to apply </w:t>
      </w:r>
      <w:r>
        <w:rPr>
          <w:rFonts w:ascii="Times New Roman" w:eastAsiaTheme="minorHAnsi" w:hAnsi="Times New Roman"/>
          <w:sz w:val="24"/>
          <w:szCs w:val="24"/>
        </w:rPr>
        <w:t>for an extension of time to file an appeal with either the President or the CITT within one year and 90 days of the decision at issue. Denials for applications to extensions of time to appeal to the President can also be appealed to the CITT. Given the CIT</w:t>
      </w:r>
      <w:r>
        <w:rPr>
          <w:rFonts w:ascii="Times New Roman" w:eastAsiaTheme="minorHAnsi" w:hAnsi="Times New Roman"/>
          <w:sz w:val="24"/>
          <w:szCs w:val="24"/>
        </w:rPr>
        <w:t xml:space="preserve">T’s finding that CBSA’s disregard of </w:t>
      </w:r>
      <w:r>
        <w:rPr>
          <w:rFonts w:ascii="Times New Roman" w:eastAsiaTheme="minorHAnsi" w:hAnsi="Times New Roman"/>
          <w:i/>
          <w:iCs/>
          <w:sz w:val="24"/>
          <w:szCs w:val="24"/>
        </w:rPr>
        <w:t xml:space="preserve">Frito-Lay </w:t>
      </w:r>
      <w:r>
        <w:rPr>
          <w:rFonts w:ascii="Times New Roman" w:eastAsiaTheme="minorHAnsi" w:hAnsi="Times New Roman"/>
          <w:sz w:val="24"/>
          <w:szCs w:val="24"/>
        </w:rPr>
        <w:t xml:space="preserve">constituted an abuse of process, and its explicit concerns about importers who did not appeal the CBSA’s improper assessment of duties following </w:t>
      </w:r>
      <w:r>
        <w:rPr>
          <w:rFonts w:ascii="Times New Roman" w:eastAsiaTheme="minorHAnsi" w:hAnsi="Times New Roman"/>
          <w:i/>
          <w:iCs/>
          <w:sz w:val="24"/>
          <w:szCs w:val="24"/>
        </w:rPr>
        <w:t>Frito-Lay</w:t>
      </w:r>
      <w:r>
        <w:rPr>
          <w:rFonts w:ascii="Times New Roman" w:eastAsiaTheme="minorHAnsi" w:hAnsi="Times New Roman"/>
          <w:sz w:val="24"/>
          <w:szCs w:val="24"/>
        </w:rPr>
        <w:t>, the Tribunal may be more than willing to grant extens</w:t>
      </w:r>
      <w:r>
        <w:rPr>
          <w:rFonts w:ascii="Times New Roman" w:eastAsiaTheme="minorHAnsi" w:hAnsi="Times New Roman"/>
          <w:sz w:val="24"/>
          <w:szCs w:val="24"/>
        </w:rPr>
        <w:t xml:space="preserve">ions of time to appeal to remedy the CBSA’s abuse of process. </w:t>
      </w:r>
    </w:p>
    <w:p w:rsidR="006C4C6F" w:rsidRDefault="009D0ABF">
      <w:pPr>
        <w:autoSpaceDE w:val="0"/>
        <w:autoSpaceDN w:val="0"/>
        <w:adjustRightInd w:val="0"/>
        <w:spacing w:before="100" w:after="100"/>
        <w:rPr>
          <w:rFonts w:ascii="Times New Roman" w:eastAsiaTheme="minorHAnsi" w:hAnsi="Times New Roman"/>
          <w:sz w:val="24"/>
          <w:szCs w:val="24"/>
        </w:rPr>
      </w:pPr>
      <w:r>
        <w:rPr>
          <w:rFonts w:ascii="Times New Roman" w:eastAsiaTheme="minorHAnsi" w:hAnsi="Times New Roman"/>
          <w:sz w:val="24"/>
          <w:szCs w:val="24"/>
        </w:rPr>
        <w:t xml:space="preserve">Importers who were denied the benefit of </w:t>
      </w:r>
      <w:r>
        <w:rPr>
          <w:rFonts w:ascii="Times New Roman" w:eastAsiaTheme="minorHAnsi" w:hAnsi="Times New Roman"/>
          <w:i/>
          <w:iCs/>
          <w:sz w:val="24"/>
          <w:szCs w:val="24"/>
        </w:rPr>
        <w:t>Frito-Lay</w:t>
      </w:r>
      <w:r>
        <w:rPr>
          <w:rFonts w:ascii="Times New Roman" w:eastAsiaTheme="minorHAnsi" w:hAnsi="Times New Roman"/>
          <w:sz w:val="24"/>
          <w:szCs w:val="24"/>
        </w:rPr>
        <w:t xml:space="preserve"> after January 8, 2013, should therefore consider applying for extensions of time to appeal to recover duties improperly paid to the CBSA. </w:t>
      </w:r>
    </w:p>
    <w:p w:rsidR="006C4C6F" w:rsidRDefault="009D0ABF">
      <w:pPr>
        <w:keepNext/>
        <w:autoSpaceDE w:val="0"/>
        <w:autoSpaceDN w:val="0"/>
        <w:adjustRightInd w:val="0"/>
        <w:spacing w:before="100" w:after="100"/>
        <w:outlineLvl w:val="4"/>
        <w:rPr>
          <w:rFonts w:ascii="Times New Roman" w:eastAsiaTheme="minorHAnsi" w:hAnsi="Times New Roman"/>
          <w:b/>
          <w:bCs/>
          <w:sz w:val="24"/>
          <w:szCs w:val="24"/>
        </w:rPr>
      </w:pPr>
      <w:r>
        <w:rPr>
          <w:rFonts w:ascii="Times New Roman" w:eastAsiaTheme="minorHAnsi" w:hAnsi="Times New Roman"/>
          <w:b/>
          <w:bCs/>
          <w:sz w:val="24"/>
          <w:szCs w:val="24"/>
        </w:rPr>
        <w:t>Not</w:t>
      </w:r>
      <w:r>
        <w:rPr>
          <w:rFonts w:ascii="Times New Roman" w:eastAsiaTheme="minorHAnsi" w:hAnsi="Times New Roman"/>
          <w:b/>
          <w:bCs/>
          <w:sz w:val="24"/>
          <w:szCs w:val="24"/>
        </w:rPr>
        <w:t>es</w:t>
      </w:r>
    </w:p>
    <w:p w:rsidR="006C4C6F" w:rsidRDefault="009D0ABF">
      <w:pPr>
        <w:numPr>
          <w:ilvl w:val="0"/>
          <w:numId w:val="19"/>
        </w:numPr>
        <w:tabs>
          <w:tab w:val="num" w:pos="720"/>
        </w:tabs>
        <w:autoSpaceDE w:val="0"/>
        <w:autoSpaceDN w:val="0"/>
        <w:adjustRightInd w:val="0"/>
        <w:spacing w:before="100" w:after="100"/>
        <w:outlineLvl w:val="0"/>
        <w:rPr>
          <w:rFonts w:ascii="Times New Roman" w:eastAsiaTheme="minorHAnsi" w:hAnsi="Times New Roman"/>
          <w:sz w:val="24"/>
          <w:szCs w:val="24"/>
        </w:rPr>
      </w:pPr>
      <w:proofErr w:type="spellStart"/>
      <w:r>
        <w:rPr>
          <w:rFonts w:ascii="Times New Roman" w:eastAsiaTheme="minorHAnsi" w:hAnsi="Times New Roman"/>
          <w:i/>
          <w:iCs/>
          <w:sz w:val="24"/>
          <w:szCs w:val="24"/>
        </w:rPr>
        <w:t>Bri-Chem</w:t>
      </w:r>
      <w:proofErr w:type="spellEnd"/>
      <w:r>
        <w:rPr>
          <w:rFonts w:ascii="Times New Roman" w:eastAsiaTheme="minorHAnsi" w:hAnsi="Times New Roman"/>
          <w:i/>
          <w:iCs/>
          <w:sz w:val="24"/>
          <w:szCs w:val="24"/>
        </w:rPr>
        <w:t xml:space="preserve"> v. President of the Canada Border Services Agency</w:t>
      </w:r>
      <w:r>
        <w:rPr>
          <w:rFonts w:ascii="Times New Roman" w:eastAsiaTheme="minorHAnsi" w:hAnsi="Times New Roman"/>
          <w:sz w:val="24"/>
          <w:szCs w:val="24"/>
        </w:rPr>
        <w:t>, AP-2014-017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w:t>
      </w:r>
      <w:r>
        <w:rPr>
          <w:rFonts w:ascii="Times New Roman" w:eastAsiaTheme="minorHAnsi" w:hAnsi="Times New Roman"/>
          <w:i/>
          <w:iCs/>
          <w:sz w:val="24"/>
          <w:szCs w:val="24"/>
        </w:rPr>
        <w:t>Evergreen Ecological Services Inc. v. President of the Canada Border Services Agency</w:t>
      </w:r>
      <w:r>
        <w:rPr>
          <w:rFonts w:ascii="Times New Roman" w:eastAsiaTheme="minorHAnsi" w:hAnsi="Times New Roman"/>
          <w:sz w:val="24"/>
          <w:szCs w:val="24"/>
        </w:rPr>
        <w:t>, AP-2014-027 (</w:t>
      </w:r>
      <w:r>
        <w:rPr>
          <w:rFonts w:ascii="Times New Roman" w:eastAsiaTheme="minorHAnsi" w:hAnsi="Times New Roman"/>
          <w:i/>
          <w:iCs/>
          <w:sz w:val="24"/>
          <w:szCs w:val="24"/>
        </w:rPr>
        <w:t>Evergreen</w:t>
      </w:r>
      <w:r>
        <w:rPr>
          <w:rFonts w:ascii="Times New Roman" w:eastAsiaTheme="minorHAnsi" w:hAnsi="Times New Roman"/>
          <w:sz w:val="24"/>
          <w:szCs w:val="24"/>
        </w:rPr>
        <w:t xml:space="preserve">) and </w:t>
      </w:r>
      <w:r>
        <w:rPr>
          <w:rFonts w:ascii="Times New Roman" w:eastAsiaTheme="minorHAnsi" w:hAnsi="Times New Roman"/>
          <w:i/>
          <w:iCs/>
          <w:sz w:val="24"/>
          <w:szCs w:val="24"/>
        </w:rPr>
        <w:t xml:space="preserve">Southern Pacific Resource Corp. v. President of the </w:t>
      </w:r>
      <w:r>
        <w:rPr>
          <w:rFonts w:ascii="Times New Roman" w:eastAsiaTheme="minorHAnsi" w:hAnsi="Times New Roman"/>
          <w:i/>
          <w:iCs/>
          <w:sz w:val="24"/>
          <w:szCs w:val="24"/>
        </w:rPr>
        <w:t>Canada Border Services Agency</w:t>
      </w:r>
      <w:r>
        <w:rPr>
          <w:rFonts w:ascii="Times New Roman" w:eastAsiaTheme="minorHAnsi" w:hAnsi="Times New Roman"/>
          <w:sz w:val="24"/>
          <w:szCs w:val="24"/>
        </w:rPr>
        <w:t>, AP-2014-028 (</w:t>
      </w:r>
      <w:r>
        <w:rPr>
          <w:rFonts w:ascii="Times New Roman" w:eastAsiaTheme="minorHAnsi" w:hAnsi="Times New Roman"/>
          <w:i/>
          <w:iCs/>
          <w:sz w:val="24"/>
          <w:szCs w:val="24"/>
        </w:rPr>
        <w:t>Southern Pacific</w:t>
      </w:r>
      <w:r>
        <w:rPr>
          <w:rFonts w:ascii="Times New Roman" w:eastAsiaTheme="minorHAnsi" w:hAnsi="Times New Roman"/>
          <w:sz w:val="24"/>
          <w:szCs w:val="24"/>
        </w:rPr>
        <w:t xml:space="preserve">). </w:t>
      </w:r>
    </w:p>
    <w:p w:rsidR="006C4C6F" w:rsidRDefault="009D0ABF">
      <w:pPr>
        <w:numPr>
          <w:ilvl w:val="0"/>
          <w:numId w:val="19"/>
        </w:numPr>
        <w:tabs>
          <w:tab w:val="num" w:pos="720"/>
        </w:tabs>
        <w:autoSpaceDE w:val="0"/>
        <w:autoSpaceDN w:val="0"/>
        <w:adjustRightInd w:val="0"/>
        <w:spacing w:before="100" w:after="100"/>
        <w:outlineLvl w:val="0"/>
        <w:rPr>
          <w:rFonts w:ascii="Times New Roman" w:eastAsiaTheme="minorHAnsi" w:hAnsi="Times New Roman"/>
          <w:sz w:val="24"/>
          <w:szCs w:val="24"/>
        </w:rPr>
      </w:pPr>
      <w:r>
        <w:rPr>
          <w:rFonts w:ascii="Times New Roman" w:eastAsiaTheme="minorHAnsi" w:hAnsi="Times New Roman"/>
          <w:sz w:val="24"/>
          <w:szCs w:val="24"/>
        </w:rPr>
        <w:t xml:space="preserve">The CBSA may yet appeal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to the Federal Court of Appeal if it files a notice of appeal by December 17, 2015. </w:t>
      </w:r>
    </w:p>
    <w:p w:rsidR="006C4C6F" w:rsidRDefault="009D0ABF">
      <w:pPr>
        <w:numPr>
          <w:ilvl w:val="0"/>
          <w:numId w:val="19"/>
        </w:numPr>
        <w:tabs>
          <w:tab w:val="num" w:pos="720"/>
        </w:tabs>
        <w:autoSpaceDE w:val="0"/>
        <w:autoSpaceDN w:val="0"/>
        <w:adjustRightInd w:val="0"/>
        <w:spacing w:before="100" w:after="100"/>
        <w:outlineLvl w:val="0"/>
        <w:rPr>
          <w:rFonts w:ascii="Times New Roman" w:eastAsiaTheme="minorHAnsi" w:hAnsi="Times New Roman"/>
          <w:sz w:val="24"/>
          <w:szCs w:val="24"/>
        </w:rPr>
      </w:pPr>
      <w:r>
        <w:rPr>
          <w:rFonts w:ascii="Times New Roman" w:eastAsiaTheme="minorHAnsi" w:hAnsi="Times New Roman"/>
          <w:i/>
          <w:iCs/>
          <w:sz w:val="24"/>
          <w:szCs w:val="24"/>
        </w:rPr>
        <w:lastRenderedPageBreak/>
        <w:t xml:space="preserve">Frito-Lay Canada Inc. v. President of the Canada Border Services </w:t>
      </w:r>
      <w:r>
        <w:rPr>
          <w:rFonts w:ascii="Times New Roman" w:eastAsiaTheme="minorHAnsi" w:hAnsi="Times New Roman"/>
          <w:i/>
          <w:iCs/>
          <w:sz w:val="24"/>
          <w:szCs w:val="24"/>
        </w:rPr>
        <w:t>Agency</w:t>
      </w:r>
      <w:r>
        <w:rPr>
          <w:rFonts w:ascii="Times New Roman" w:eastAsiaTheme="minorHAnsi" w:hAnsi="Times New Roman"/>
          <w:sz w:val="24"/>
          <w:szCs w:val="24"/>
        </w:rPr>
        <w:t xml:space="preserve">, AP-2010-002 (Frito-Lay) </w:t>
      </w:r>
    </w:p>
    <w:p w:rsidR="006C4C6F" w:rsidRDefault="009D0ABF">
      <w:pPr>
        <w:numPr>
          <w:ilvl w:val="0"/>
          <w:numId w:val="19"/>
        </w:numPr>
        <w:tabs>
          <w:tab w:val="num" w:pos="720"/>
        </w:tabs>
        <w:autoSpaceDE w:val="0"/>
        <w:autoSpaceDN w:val="0"/>
        <w:adjustRightInd w:val="0"/>
        <w:spacing w:before="100" w:after="100"/>
        <w:outlineLvl w:val="0"/>
        <w:rPr>
          <w:rFonts w:ascii="Times New Roman" w:eastAsiaTheme="minorHAnsi" w:hAnsi="Times New Roman"/>
          <w:sz w:val="24"/>
          <w:szCs w:val="24"/>
        </w:rPr>
      </w:pPr>
      <w:r>
        <w:rPr>
          <w:rFonts w:ascii="Times New Roman" w:eastAsiaTheme="minorHAnsi" w:hAnsi="Times New Roman"/>
          <w:sz w:val="24"/>
          <w:szCs w:val="24"/>
        </w:rPr>
        <w:t xml:space="preserve">This one-year limitation period to claim a refund only applies to goods subject to the </w:t>
      </w:r>
      <w:r>
        <w:rPr>
          <w:rFonts w:ascii="Times New Roman" w:eastAsiaTheme="minorHAnsi" w:hAnsi="Times New Roman"/>
          <w:i/>
          <w:iCs/>
          <w:sz w:val="24"/>
          <w:szCs w:val="24"/>
        </w:rPr>
        <w:t>NAFTA</w:t>
      </w:r>
      <w:r>
        <w:rPr>
          <w:rFonts w:ascii="Times New Roman" w:eastAsiaTheme="minorHAnsi" w:hAnsi="Times New Roman"/>
          <w:sz w:val="24"/>
          <w:szCs w:val="24"/>
        </w:rPr>
        <w:t xml:space="preserve"> and the </w:t>
      </w:r>
      <w:r>
        <w:rPr>
          <w:rFonts w:ascii="Times New Roman" w:eastAsiaTheme="minorHAnsi" w:hAnsi="Times New Roman"/>
          <w:i/>
          <w:iCs/>
          <w:sz w:val="24"/>
          <w:szCs w:val="24"/>
        </w:rPr>
        <w:t>Canada-Chile Free-Trade Agreement</w:t>
      </w:r>
      <w:r>
        <w:rPr>
          <w:rFonts w:ascii="Times New Roman" w:eastAsiaTheme="minorHAnsi" w:hAnsi="Times New Roman"/>
          <w:sz w:val="24"/>
          <w:szCs w:val="24"/>
        </w:rPr>
        <w:t xml:space="preserve">; otherwise, the limitation period to file a refund claim is four years. </w:t>
      </w:r>
    </w:p>
    <w:p w:rsidR="006C4C6F" w:rsidRDefault="009D0ABF">
      <w:pPr>
        <w:numPr>
          <w:ilvl w:val="0"/>
          <w:numId w:val="19"/>
        </w:numPr>
        <w:tabs>
          <w:tab w:val="num" w:pos="720"/>
        </w:tabs>
        <w:autoSpaceDE w:val="0"/>
        <w:autoSpaceDN w:val="0"/>
        <w:adjustRightInd w:val="0"/>
        <w:spacing w:before="100" w:after="100"/>
        <w:outlineLvl w:val="0"/>
        <w:rPr>
          <w:rFonts w:ascii="Times New Roman" w:eastAsiaTheme="minorHAnsi" w:hAnsi="Times New Roman"/>
          <w:sz w:val="24"/>
          <w:szCs w:val="24"/>
        </w:rPr>
      </w:pPr>
      <w:r>
        <w:rPr>
          <w:rFonts w:ascii="Times New Roman" w:eastAsiaTheme="minorHAnsi" w:hAnsi="Times New Roman"/>
          <w:sz w:val="24"/>
          <w:szCs w:val="24"/>
        </w:rPr>
        <w:t>The importers i</w:t>
      </w:r>
      <w:r>
        <w:rPr>
          <w:rFonts w:ascii="Times New Roman" w:eastAsiaTheme="minorHAnsi" w:hAnsi="Times New Roman"/>
          <w:sz w:val="24"/>
          <w:szCs w:val="24"/>
        </w:rPr>
        <w:t xml:space="preserve">n the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obtained “reason to believe” that their tariff classification declarations were incorrect as a result of trade verifications conducted by the CBSA. In each case, the CBSA issued an audit report to the importer that identified the tar</w:t>
      </w:r>
      <w:r>
        <w:rPr>
          <w:rFonts w:ascii="Times New Roman" w:eastAsiaTheme="minorHAnsi" w:hAnsi="Times New Roman"/>
          <w:sz w:val="24"/>
          <w:szCs w:val="24"/>
        </w:rPr>
        <w:t xml:space="preserve">iff classification error and directed the importers to self-correct the tariff classification declarations of the goods identified in the audit report under section 32.2 of the </w:t>
      </w:r>
      <w:r>
        <w:rPr>
          <w:rFonts w:ascii="Times New Roman" w:eastAsiaTheme="minorHAnsi" w:hAnsi="Times New Roman"/>
          <w:i/>
          <w:iCs/>
          <w:sz w:val="24"/>
          <w:szCs w:val="24"/>
        </w:rPr>
        <w:t>Customs Act</w:t>
      </w:r>
      <w:r>
        <w:rPr>
          <w:rFonts w:ascii="Times New Roman" w:eastAsiaTheme="minorHAnsi" w:hAnsi="Times New Roman"/>
          <w:sz w:val="24"/>
          <w:szCs w:val="24"/>
        </w:rPr>
        <w:t xml:space="preserve">. </w:t>
      </w:r>
    </w:p>
    <w:p w:rsidR="006C4C6F" w:rsidRDefault="009D0ABF">
      <w:pPr>
        <w:numPr>
          <w:ilvl w:val="0"/>
          <w:numId w:val="19"/>
        </w:numPr>
        <w:tabs>
          <w:tab w:val="num" w:pos="720"/>
        </w:tabs>
        <w:autoSpaceDE w:val="0"/>
        <w:autoSpaceDN w:val="0"/>
        <w:adjustRightInd w:val="0"/>
        <w:spacing w:before="100" w:after="100"/>
        <w:outlineLvl w:val="0"/>
        <w:rPr>
          <w:rFonts w:ascii="Times New Roman" w:eastAsiaTheme="minorHAnsi" w:hAnsi="Times New Roman"/>
          <w:sz w:val="24"/>
          <w:szCs w:val="24"/>
        </w:rPr>
      </w:pPr>
      <w:r>
        <w:rPr>
          <w:rFonts w:ascii="Times New Roman" w:eastAsiaTheme="minorHAnsi" w:hAnsi="Times New Roman"/>
          <w:sz w:val="24"/>
          <w:szCs w:val="24"/>
        </w:rPr>
        <w:t>Many professional advisors have recommended to importers that the</w:t>
      </w:r>
      <w:r>
        <w:rPr>
          <w:rFonts w:ascii="Times New Roman" w:eastAsiaTheme="minorHAnsi" w:hAnsi="Times New Roman"/>
          <w:sz w:val="24"/>
          <w:szCs w:val="24"/>
        </w:rPr>
        <w:t xml:space="preserve">y take this approach in order to avoid application of the erroneous CBSA policy struck down by the CITT. The results in </w:t>
      </w:r>
      <w:proofErr w:type="spellStart"/>
      <w:r>
        <w:rPr>
          <w:rFonts w:ascii="Times New Roman" w:eastAsiaTheme="minorHAnsi" w:hAnsi="Times New Roman"/>
          <w:i/>
          <w:iCs/>
          <w:sz w:val="24"/>
          <w:szCs w:val="24"/>
        </w:rPr>
        <w:t>Bri-Chem</w:t>
      </w:r>
      <w:proofErr w:type="spellEnd"/>
      <w:r>
        <w:rPr>
          <w:rFonts w:ascii="Times New Roman" w:eastAsiaTheme="minorHAnsi" w:hAnsi="Times New Roman"/>
          <w:sz w:val="24"/>
          <w:szCs w:val="24"/>
        </w:rPr>
        <w:t xml:space="preserve"> trilogy would suggest a re-examination of importer practices.</w:t>
      </w:r>
    </w:p>
    <w:sectPr w:rsidR="006C4C6F">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BF" w:rsidRDefault="009D0ABF">
      <w:r>
        <w:separator/>
      </w:r>
    </w:p>
  </w:endnote>
  <w:endnote w:type="continuationSeparator" w:id="0">
    <w:p w:rsidR="009D0ABF" w:rsidRDefault="009D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BF" w:rsidRDefault="009D0ABF">
      <w:r>
        <w:separator/>
      </w:r>
    </w:p>
  </w:footnote>
  <w:footnote w:type="continuationSeparator" w:id="0">
    <w:p w:rsidR="009D0ABF" w:rsidRDefault="009D0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32257E"/>
    <w:lvl w:ilvl="0">
      <w:start w:val="1"/>
      <w:numFmt w:val="decimal"/>
      <w:lvlText w:val="%1."/>
      <w:lvlJc w:val="left"/>
      <w:pPr>
        <w:tabs>
          <w:tab w:val="num" w:pos="1800"/>
        </w:tabs>
        <w:ind w:left="1800" w:hanging="360"/>
      </w:pPr>
    </w:lvl>
  </w:abstractNum>
  <w:abstractNum w:abstractNumId="1">
    <w:nsid w:val="FFFFFF7D"/>
    <w:multiLevelType w:val="singleLevel"/>
    <w:tmpl w:val="F0023D68"/>
    <w:lvl w:ilvl="0">
      <w:start w:val="1"/>
      <w:numFmt w:val="decimal"/>
      <w:lvlText w:val="%1."/>
      <w:lvlJc w:val="left"/>
      <w:pPr>
        <w:tabs>
          <w:tab w:val="num" w:pos="1440"/>
        </w:tabs>
        <w:ind w:left="1440" w:hanging="360"/>
      </w:pPr>
    </w:lvl>
  </w:abstractNum>
  <w:abstractNum w:abstractNumId="2">
    <w:nsid w:val="FFFFFF7E"/>
    <w:multiLevelType w:val="singleLevel"/>
    <w:tmpl w:val="F6222822"/>
    <w:lvl w:ilvl="0">
      <w:start w:val="1"/>
      <w:numFmt w:val="decimal"/>
      <w:lvlText w:val="%1."/>
      <w:lvlJc w:val="left"/>
      <w:pPr>
        <w:tabs>
          <w:tab w:val="num" w:pos="1080"/>
        </w:tabs>
        <w:ind w:left="1080" w:hanging="360"/>
      </w:pPr>
    </w:lvl>
  </w:abstractNum>
  <w:abstractNum w:abstractNumId="3">
    <w:nsid w:val="FFFFFF7F"/>
    <w:multiLevelType w:val="singleLevel"/>
    <w:tmpl w:val="EE00F886"/>
    <w:lvl w:ilvl="0">
      <w:start w:val="1"/>
      <w:numFmt w:val="decimal"/>
      <w:lvlText w:val="%1."/>
      <w:lvlJc w:val="left"/>
      <w:pPr>
        <w:tabs>
          <w:tab w:val="num" w:pos="720"/>
        </w:tabs>
        <w:ind w:left="720" w:hanging="360"/>
      </w:pPr>
    </w:lvl>
  </w:abstractNum>
  <w:abstractNum w:abstractNumId="4">
    <w:nsid w:val="FFFFFF80"/>
    <w:multiLevelType w:val="singleLevel"/>
    <w:tmpl w:val="7FCC43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FA82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FA44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C471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5C677E"/>
    <w:lvl w:ilvl="0">
      <w:start w:val="1"/>
      <w:numFmt w:val="decimal"/>
      <w:lvlText w:val="%1."/>
      <w:lvlJc w:val="left"/>
      <w:pPr>
        <w:tabs>
          <w:tab w:val="num" w:pos="360"/>
        </w:tabs>
        <w:ind w:left="360" w:hanging="360"/>
      </w:pPr>
    </w:lvl>
  </w:abstractNum>
  <w:abstractNum w:abstractNumId="9">
    <w:nsid w:val="FFFFFF89"/>
    <w:multiLevelType w:val="singleLevel"/>
    <w:tmpl w:val="3D44C15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3">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5">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7"/>
  </w:num>
  <w:num w:numId="3">
    <w:abstractNumId w:val="16"/>
  </w:num>
  <w:num w:numId="4">
    <w:abstractNumId w:val="14"/>
  </w:num>
  <w:num w:numId="5">
    <w:abstractNumId w:val="15"/>
  </w:num>
  <w:num w:numId="6">
    <w:abstractNumId w:val="12"/>
  </w:num>
  <w:num w:numId="7">
    <w:abstractNumId w:val="18"/>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6F"/>
    <w:rsid w:val="004D0C86"/>
    <w:rsid w:val="006C4C6F"/>
    <w:rsid w:val="009D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envelope address" w:qFormat="1"/>
    <w:lsdException w:name="toa heading" w:qFormat="1"/>
    <w:lsdException w:name="Title" w:uiPriority="14" w:unhideWhenUsed="0" w:qFormat="1"/>
    <w:lsdException w:name="Default Paragraph Font" w:uiPriority="1"/>
    <w:lsdException w:name="Body Text" w:uiPriority="0" w:qFormat="1"/>
    <w:lsdException w:name="Subtitle" w:uiPriority="14" w:unhideWhenUsed="0" w:qFormat="1"/>
    <w:lsdException w:name="Body Text 2" w:uiPriority="0"/>
    <w:lsdException w:name="Body Text 3" w:uiPriority="0"/>
    <w:lsdException w:name="Body Text Indent 2" w:uiPriority="0"/>
    <w:lsdException w:name="Body Text Indent 3" w:uiPriority="0"/>
    <w:lsdException w:name="Strong" w:uiPriority="22" w:qFormat="1"/>
    <w:lsdException w:name="Emphasis" w:qFormat="1"/>
    <w:lsdException w:name="Outline List 1" w:uiPriority="0"/>
    <w:lsdException w:name="Outline List 2"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1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uiPriority w:val="1"/>
    <w:qFormat/>
    <w:pPr>
      <w:spacing w:after="0"/>
    </w:pPr>
    <w:rPr>
      <w:rFonts w:ascii="Calibri" w:eastAsia="Times New Roman" w:hAnsi="Calibri" w:cs="Times New Roman"/>
      <w:sz w:val="22"/>
      <w:szCs w:val="22"/>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eastAsia="Times New Roman" w:cs="Times New Roman"/>
    </w:rPr>
  </w:style>
  <w:style w:type="character" w:customStyle="1" w:styleId="Heading1Char">
    <w:name w:val="Heading 1 Char"/>
    <w:basedOn w:val="DefaultParagraphFont"/>
    <w:link w:val="Heading1"/>
    <w:uiPriority w:val="9"/>
    <w:rPr>
      <w:rFonts w:eastAsiaTheme="majorEastAsia" w:cstheme="majorBidi"/>
      <w:b/>
      <w:bCs/>
      <w:caps/>
      <w:szCs w:val="28"/>
    </w:rPr>
  </w:style>
  <w:style w:type="character" w:customStyle="1" w:styleId="Heading2Char">
    <w:name w:val="Heading 2 Char"/>
    <w:basedOn w:val="DefaultParagraphFont"/>
    <w:link w:val="Heading2"/>
    <w:uiPriority w:val="9"/>
    <w:semiHidden/>
    <w:rPr>
      <w:rFonts w:eastAsiaTheme="majorEastAsia" w:cstheme="majorBidi"/>
      <w:b/>
      <w:bCs/>
      <w:szCs w:val="26"/>
    </w:rPr>
  </w:style>
  <w:style w:type="character" w:customStyle="1" w:styleId="Heading3Char">
    <w:name w:val="Heading 3 Char"/>
    <w:basedOn w:val="DefaultParagraphFont"/>
    <w:link w:val="Heading3"/>
    <w:uiPriority w:val="9"/>
    <w:semiHidden/>
    <w:rPr>
      <w:rFonts w:eastAsiaTheme="majorEastAsia" w:cstheme="majorBidi"/>
      <w:b/>
      <w:bCs/>
      <w:i/>
    </w:rPr>
  </w:style>
  <w:style w:type="character" w:customStyle="1" w:styleId="Heading4Char">
    <w:name w:val="Heading 4 Char"/>
    <w:basedOn w:val="DefaultParagraphFont"/>
    <w:link w:val="Heading4"/>
    <w:uiPriority w:val="9"/>
    <w:semiHidden/>
    <w:rPr>
      <w:rFonts w:eastAsiaTheme="majorEastAsia" w:cstheme="majorBidi"/>
      <w:bCs/>
      <w:i/>
      <w:iCs/>
    </w:rPr>
  </w:style>
  <w:style w:type="character" w:customStyle="1" w:styleId="Heading5Char">
    <w:name w:val="Heading 5 Char"/>
    <w:basedOn w:val="DefaultParagraphFont"/>
    <w:link w:val="Heading5"/>
    <w:uiPriority w:val="9"/>
    <w:semiHidden/>
    <w:rPr>
      <w:rFonts w:eastAsiaTheme="majorEastAsia" w:cstheme="majorBidi"/>
      <w:u w:val="single"/>
    </w:rPr>
  </w:style>
  <w:style w:type="character" w:customStyle="1" w:styleId="Heading6Char">
    <w:name w:val="Heading 6 Char"/>
    <w:basedOn w:val="DefaultParagraphFont"/>
    <w:link w:val="Heading6"/>
    <w:uiPriority w:val="9"/>
    <w:semiHidden/>
    <w:rPr>
      <w:rFonts w:eastAsiaTheme="majorEastAsia" w:cstheme="majorBidi"/>
      <w:b/>
      <w:i/>
      <w:iCs/>
    </w:rPr>
  </w:style>
  <w:style w:type="character" w:customStyle="1" w:styleId="Heading7Char">
    <w:name w:val="Heading 7 Char"/>
    <w:basedOn w:val="DefaultParagraphFont"/>
    <w:link w:val="Heading7"/>
    <w:uiPriority w:val="9"/>
    <w:semiHidden/>
    <w:rPr>
      <w:rFonts w:eastAsiaTheme="majorEastAsia" w:cstheme="majorBidi"/>
      <w:iCs/>
      <w:u w:val="single"/>
    </w:rPr>
  </w:style>
  <w:style w:type="character" w:customStyle="1" w:styleId="Heading8Char">
    <w:name w:val="Heading 8 Char"/>
    <w:basedOn w:val="DefaultParagraphFont"/>
    <w:link w:val="Heading8"/>
    <w:uiPriority w:val="9"/>
    <w:semiHidden/>
    <w:rPr>
      <w:rFonts w:eastAsiaTheme="majorEastAsia" w:cstheme="majorBidi"/>
      <w:i/>
      <w:szCs w:val="20"/>
    </w:rPr>
  </w:style>
  <w:style w:type="character" w:customStyle="1" w:styleId="Heading9Char">
    <w:name w:val="Heading 9 Char"/>
    <w:basedOn w:val="DefaultParagraphFont"/>
    <w:link w:val="Heading9"/>
    <w:uiPriority w:val="9"/>
    <w:semiHidden/>
    <w:rPr>
      <w:rFonts w:eastAsiaTheme="majorEastAsia" w:cstheme="majorBidi"/>
      <w:iCs/>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iPriority w:val="99"/>
    <w:semiHidden/>
    <w:unhideWhenUsed/>
    <w:pPr>
      <w:ind w:firstLine="720"/>
    </w:pPr>
  </w:style>
  <w:style w:type="character" w:customStyle="1" w:styleId="BodyTextFirstIndentChar">
    <w:name w:val="Body Text First Indent Char"/>
    <w:basedOn w:val="BodyTextChar"/>
    <w:link w:val="BodyTextFirstIndent"/>
    <w:uiPriority w:val="99"/>
    <w:semiHidden/>
    <w:rPr>
      <w:rFonts w:eastAsia="Times New Roman" w:cs="Times New Roman"/>
    </w:rPr>
  </w:style>
  <w:style w:type="paragraph" w:styleId="BodyTextIndent">
    <w:name w:val="Body Text Indent"/>
    <w:basedOn w:val="Normal"/>
    <w:link w:val="BodyTextIndentChar"/>
    <w:uiPriority w:val="99"/>
    <w:semiHidden/>
    <w:unhideWhenUsed/>
    <w:pPr>
      <w:ind w:left="72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iCs/>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pos="9288"/>
      </w:tabs>
      <w:ind w:left="720" w:right="720" w:hanging="720"/>
      <w:jc w:val="center"/>
    </w:pPr>
    <w:rPr>
      <w:b/>
      <w:caps/>
    </w:rPr>
  </w:style>
  <w:style w:type="paragraph" w:styleId="TOC2">
    <w:name w:val="toc 2"/>
    <w:basedOn w:val="Normal"/>
    <w:next w:val="TOC3"/>
    <w:uiPriority w:val="39"/>
    <w:qFormat/>
    <w:pPr>
      <w:keepLines/>
      <w:tabs>
        <w:tab w:val="right" w:pos="9288"/>
      </w:tabs>
      <w:ind w:left="1440" w:right="720" w:hanging="720"/>
    </w:pPr>
  </w:style>
  <w:style w:type="paragraph" w:styleId="TOC3">
    <w:name w:val="toc 3"/>
    <w:basedOn w:val="Normal"/>
    <w:next w:val="TOC4"/>
    <w:uiPriority w:val="39"/>
    <w:pPr>
      <w:keepLines/>
      <w:tabs>
        <w:tab w:val="right" w:pos="9288"/>
      </w:tabs>
      <w:ind w:left="2160" w:right="720" w:hanging="720"/>
    </w:pPr>
  </w:style>
  <w:style w:type="paragraph" w:styleId="TOC4">
    <w:name w:val="toc 4"/>
    <w:basedOn w:val="Normal"/>
    <w:next w:val="TOC5"/>
    <w:uiPriority w:val="39"/>
    <w:pPr>
      <w:keepLines/>
      <w:tabs>
        <w:tab w:val="right" w:pos="9288"/>
      </w:tabs>
      <w:ind w:left="2880" w:right="720" w:hanging="720"/>
    </w:pPr>
  </w:style>
  <w:style w:type="paragraph" w:styleId="TOC5">
    <w:name w:val="toc 5"/>
    <w:basedOn w:val="Normal"/>
    <w:next w:val="TOC6"/>
    <w:uiPriority w:val="39"/>
    <w:pPr>
      <w:keepLines/>
      <w:tabs>
        <w:tab w:val="right" w:pos="9288"/>
      </w:tabs>
      <w:ind w:left="3600" w:right="720" w:hanging="720"/>
    </w:pPr>
  </w:style>
  <w:style w:type="paragraph" w:styleId="TOC6">
    <w:name w:val="toc 6"/>
    <w:basedOn w:val="Normal"/>
    <w:next w:val="TOC7"/>
    <w:uiPriority w:val="39"/>
    <w:semiHidden/>
    <w:unhideWhenUsed/>
    <w:pPr>
      <w:keepLines/>
      <w:tabs>
        <w:tab w:val="right" w:pos="9288"/>
      </w:tabs>
      <w:ind w:left="4320" w:right="720" w:hanging="720"/>
    </w:pPr>
  </w:style>
  <w:style w:type="paragraph" w:styleId="TOC7">
    <w:name w:val="toc 7"/>
    <w:basedOn w:val="Normal"/>
    <w:next w:val="TOC8"/>
    <w:uiPriority w:val="39"/>
    <w:semiHidden/>
    <w:unhideWhenUsed/>
    <w:pPr>
      <w:keepLines/>
      <w:tabs>
        <w:tab w:val="right" w:pos="9288"/>
      </w:tabs>
      <w:ind w:left="5040" w:right="720" w:hanging="720"/>
    </w:pPr>
  </w:style>
  <w:style w:type="paragraph" w:styleId="TOC8">
    <w:name w:val="toc 8"/>
    <w:basedOn w:val="Normal"/>
    <w:next w:val="TOC9"/>
    <w:uiPriority w:val="39"/>
    <w:semiHidden/>
    <w:unhideWhenUsed/>
    <w:pPr>
      <w:keepLines/>
      <w:tabs>
        <w:tab w:val="right" w:pos="9288"/>
      </w:tabs>
      <w:ind w:left="5760" w:right="720" w:hanging="720"/>
    </w:pPr>
  </w:style>
  <w:style w:type="paragraph" w:styleId="TOC9">
    <w:name w:val="toc 9"/>
    <w:basedOn w:val="Normal"/>
    <w:next w:val="Normal"/>
    <w:uiPriority w:val="39"/>
    <w:semiHidden/>
    <w:unhideWhenUsed/>
    <w:pPr>
      <w:keepLines/>
      <w:ind w:left="6480" w:right="720" w:hanging="720"/>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style>
  <w:style w:type="character" w:customStyle="1" w:styleId="BodyText2Char">
    <w:name w:val="Body Text 2 Char"/>
    <w:basedOn w:val="DefaultParagraphFont"/>
    <w:link w:val="BodyText2"/>
    <w:semiHidden/>
    <w:rPr>
      <w:rFonts w:eastAsia="Times New Roman" w:cs="Times New Roman"/>
    </w:rPr>
  </w:style>
  <w:style w:type="paragraph" w:styleId="BodyText3">
    <w:name w:val="Body Text 3"/>
    <w:basedOn w:val="Normal"/>
    <w:link w:val="BodyText3Char"/>
    <w:semiHidden/>
    <w:pPr>
      <w:spacing w:after="240"/>
    </w:pPr>
    <w:rPr>
      <w:sz w:val="16"/>
      <w:szCs w:val="16"/>
    </w:rPr>
  </w:style>
  <w:style w:type="character" w:customStyle="1" w:styleId="BodyText3Char">
    <w:name w:val="Body Text 3 Char"/>
    <w:basedOn w:val="DefaultParagraphFont"/>
    <w:link w:val="BodyText3"/>
    <w:semiHidden/>
    <w:rPr>
      <w:rFonts w:eastAsia="Times New Roman" w:cs="Times New Roman"/>
      <w:sz w:val="16"/>
      <w:szCs w:val="16"/>
    </w:rPr>
  </w:style>
  <w:style w:type="paragraph" w:styleId="BodyTextIndent2">
    <w:name w:val="Body Text Indent 2"/>
    <w:basedOn w:val="Normal"/>
    <w:link w:val="BodyTextIndent2Char"/>
    <w:semiHidden/>
    <w:pPr>
      <w:spacing w:after="240" w:line="480" w:lineRule="auto"/>
      <w:ind w:left="720"/>
    </w:pPr>
  </w:style>
  <w:style w:type="character" w:customStyle="1" w:styleId="BodyTextIndent2Char">
    <w:name w:val="Body Text Indent 2 Char"/>
    <w:basedOn w:val="DefaultParagraphFont"/>
    <w:link w:val="BodyTextIndent2"/>
    <w:semiHidden/>
    <w:rPr>
      <w:rFonts w:eastAsia="Times New Roman" w:cs="Times New Roman"/>
    </w:rPr>
  </w:style>
  <w:style w:type="paragraph" w:styleId="BodyTextIndent3">
    <w:name w:val="Body Text Indent 3"/>
    <w:basedOn w:val="Normal"/>
    <w:link w:val="BodyTextIndent3Char"/>
    <w:semiHidden/>
    <w:pPr>
      <w:spacing w:after="240"/>
      <w:ind w:left="720"/>
    </w:pPr>
    <w:rPr>
      <w:sz w:val="16"/>
      <w:szCs w:val="16"/>
    </w:rPr>
  </w:style>
  <w:style w:type="character" w:customStyle="1" w:styleId="BodyTextIndent3Char">
    <w:name w:val="Body Text Indent 3 Char"/>
    <w:basedOn w:val="DefaultParagraphFont"/>
    <w:link w:val="BodyTextIndent3"/>
    <w:semiHidden/>
    <w:rPr>
      <w:rFonts w:eastAsia="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Pr>
      <w:rFonts w:cs="Times New Roman"/>
      <w:i/>
      <w:iCs/>
    </w:rPr>
  </w:style>
  <w:style w:type="character" w:customStyle="1" w:styleId="zzmpTrailerItem">
    <w:name w:val="zzmpTrailerItem"/>
    <w:basedOn w:val="DefaultParagraphFont"/>
    <w:rPr>
      <w:rFonts w:ascii="Calibri" w:hAnsi="Calibri" w:cs="Times New Roman"/>
      <w:dstrike w:val="0"/>
      <w:noProof/>
      <w:color w:val="auto"/>
      <w:spacing w:val="0"/>
      <w:position w:val="0"/>
      <w:sz w:val="14"/>
      <w:szCs w:val="16"/>
      <w:u w:val="none"/>
      <w:effect w:val="none"/>
      <w:vertAlign w:val="baseline"/>
    </w:rPr>
  </w:style>
  <w:style w:type="paragraph" w:customStyle="1" w:styleId="H3">
    <w:name w:val="H3"/>
    <w:basedOn w:val="Normal"/>
    <w:next w:val="Normal"/>
    <w:uiPriority w:val="99"/>
    <w:pPr>
      <w:keepNext/>
      <w:autoSpaceDE w:val="0"/>
      <w:autoSpaceDN w:val="0"/>
      <w:adjustRightInd w:val="0"/>
      <w:spacing w:before="100" w:after="100"/>
      <w:outlineLvl w:val="3"/>
    </w:pPr>
    <w:rPr>
      <w:rFonts w:ascii="Times New Roman" w:eastAsiaTheme="minorHAnsi" w:hAnsi="Times New Roman"/>
      <w:b/>
      <w:bCs/>
      <w:sz w:val="28"/>
      <w:szCs w:val="28"/>
    </w:rPr>
  </w:style>
  <w:style w:type="paragraph" w:customStyle="1" w:styleId="H4">
    <w:name w:val="H4"/>
    <w:basedOn w:val="Normal"/>
    <w:next w:val="Normal"/>
    <w:uiPriority w:val="99"/>
    <w:pPr>
      <w:keepNext/>
      <w:autoSpaceDE w:val="0"/>
      <w:autoSpaceDN w:val="0"/>
      <w:adjustRightInd w:val="0"/>
      <w:spacing w:before="100" w:after="100"/>
      <w:outlineLvl w:val="4"/>
    </w:pPr>
    <w:rPr>
      <w:rFonts w:ascii="Times New Roman" w:eastAsiaTheme="minorHAnsi" w:hAnsi="Times New Roman"/>
      <w:b/>
      <w:bCs/>
      <w:sz w:val="24"/>
      <w:szCs w:val="24"/>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envelope address" w:qFormat="1"/>
    <w:lsdException w:name="toa heading" w:qFormat="1"/>
    <w:lsdException w:name="Title" w:uiPriority="14" w:unhideWhenUsed="0" w:qFormat="1"/>
    <w:lsdException w:name="Default Paragraph Font" w:uiPriority="1"/>
    <w:lsdException w:name="Body Text" w:uiPriority="0" w:qFormat="1"/>
    <w:lsdException w:name="Subtitle" w:uiPriority="14" w:unhideWhenUsed="0" w:qFormat="1"/>
    <w:lsdException w:name="Body Text 2" w:uiPriority="0"/>
    <w:lsdException w:name="Body Text 3" w:uiPriority="0"/>
    <w:lsdException w:name="Body Text Indent 2" w:uiPriority="0"/>
    <w:lsdException w:name="Body Text Indent 3" w:uiPriority="0"/>
    <w:lsdException w:name="Strong" w:uiPriority="22" w:qFormat="1"/>
    <w:lsdException w:name="Emphasis" w:qFormat="1"/>
    <w:lsdException w:name="Outline List 1" w:uiPriority="0"/>
    <w:lsdException w:name="Outline List 2"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1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uiPriority w:val="1"/>
    <w:qFormat/>
    <w:pPr>
      <w:spacing w:after="0"/>
    </w:pPr>
    <w:rPr>
      <w:rFonts w:ascii="Calibri" w:eastAsia="Times New Roman" w:hAnsi="Calibri" w:cs="Times New Roman"/>
      <w:sz w:val="22"/>
      <w:szCs w:val="22"/>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eastAsia="Times New Roman" w:cs="Times New Roman"/>
    </w:rPr>
  </w:style>
  <w:style w:type="character" w:customStyle="1" w:styleId="Heading1Char">
    <w:name w:val="Heading 1 Char"/>
    <w:basedOn w:val="DefaultParagraphFont"/>
    <w:link w:val="Heading1"/>
    <w:uiPriority w:val="9"/>
    <w:rPr>
      <w:rFonts w:eastAsiaTheme="majorEastAsia" w:cstheme="majorBidi"/>
      <w:b/>
      <w:bCs/>
      <w:caps/>
      <w:szCs w:val="28"/>
    </w:rPr>
  </w:style>
  <w:style w:type="character" w:customStyle="1" w:styleId="Heading2Char">
    <w:name w:val="Heading 2 Char"/>
    <w:basedOn w:val="DefaultParagraphFont"/>
    <w:link w:val="Heading2"/>
    <w:uiPriority w:val="9"/>
    <w:semiHidden/>
    <w:rPr>
      <w:rFonts w:eastAsiaTheme="majorEastAsia" w:cstheme="majorBidi"/>
      <w:b/>
      <w:bCs/>
      <w:szCs w:val="26"/>
    </w:rPr>
  </w:style>
  <w:style w:type="character" w:customStyle="1" w:styleId="Heading3Char">
    <w:name w:val="Heading 3 Char"/>
    <w:basedOn w:val="DefaultParagraphFont"/>
    <w:link w:val="Heading3"/>
    <w:uiPriority w:val="9"/>
    <w:semiHidden/>
    <w:rPr>
      <w:rFonts w:eastAsiaTheme="majorEastAsia" w:cstheme="majorBidi"/>
      <w:b/>
      <w:bCs/>
      <w:i/>
    </w:rPr>
  </w:style>
  <w:style w:type="character" w:customStyle="1" w:styleId="Heading4Char">
    <w:name w:val="Heading 4 Char"/>
    <w:basedOn w:val="DefaultParagraphFont"/>
    <w:link w:val="Heading4"/>
    <w:uiPriority w:val="9"/>
    <w:semiHidden/>
    <w:rPr>
      <w:rFonts w:eastAsiaTheme="majorEastAsia" w:cstheme="majorBidi"/>
      <w:bCs/>
      <w:i/>
      <w:iCs/>
    </w:rPr>
  </w:style>
  <w:style w:type="character" w:customStyle="1" w:styleId="Heading5Char">
    <w:name w:val="Heading 5 Char"/>
    <w:basedOn w:val="DefaultParagraphFont"/>
    <w:link w:val="Heading5"/>
    <w:uiPriority w:val="9"/>
    <w:semiHidden/>
    <w:rPr>
      <w:rFonts w:eastAsiaTheme="majorEastAsia" w:cstheme="majorBidi"/>
      <w:u w:val="single"/>
    </w:rPr>
  </w:style>
  <w:style w:type="character" w:customStyle="1" w:styleId="Heading6Char">
    <w:name w:val="Heading 6 Char"/>
    <w:basedOn w:val="DefaultParagraphFont"/>
    <w:link w:val="Heading6"/>
    <w:uiPriority w:val="9"/>
    <w:semiHidden/>
    <w:rPr>
      <w:rFonts w:eastAsiaTheme="majorEastAsia" w:cstheme="majorBidi"/>
      <w:b/>
      <w:i/>
      <w:iCs/>
    </w:rPr>
  </w:style>
  <w:style w:type="character" w:customStyle="1" w:styleId="Heading7Char">
    <w:name w:val="Heading 7 Char"/>
    <w:basedOn w:val="DefaultParagraphFont"/>
    <w:link w:val="Heading7"/>
    <w:uiPriority w:val="9"/>
    <w:semiHidden/>
    <w:rPr>
      <w:rFonts w:eastAsiaTheme="majorEastAsia" w:cstheme="majorBidi"/>
      <w:iCs/>
      <w:u w:val="single"/>
    </w:rPr>
  </w:style>
  <w:style w:type="character" w:customStyle="1" w:styleId="Heading8Char">
    <w:name w:val="Heading 8 Char"/>
    <w:basedOn w:val="DefaultParagraphFont"/>
    <w:link w:val="Heading8"/>
    <w:uiPriority w:val="9"/>
    <w:semiHidden/>
    <w:rPr>
      <w:rFonts w:eastAsiaTheme="majorEastAsia" w:cstheme="majorBidi"/>
      <w:i/>
      <w:szCs w:val="20"/>
    </w:rPr>
  </w:style>
  <w:style w:type="character" w:customStyle="1" w:styleId="Heading9Char">
    <w:name w:val="Heading 9 Char"/>
    <w:basedOn w:val="DefaultParagraphFont"/>
    <w:link w:val="Heading9"/>
    <w:uiPriority w:val="9"/>
    <w:semiHidden/>
    <w:rPr>
      <w:rFonts w:eastAsiaTheme="majorEastAsia" w:cstheme="majorBidi"/>
      <w:iCs/>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iPriority w:val="99"/>
    <w:semiHidden/>
    <w:unhideWhenUsed/>
    <w:pPr>
      <w:ind w:firstLine="720"/>
    </w:pPr>
  </w:style>
  <w:style w:type="character" w:customStyle="1" w:styleId="BodyTextFirstIndentChar">
    <w:name w:val="Body Text First Indent Char"/>
    <w:basedOn w:val="BodyTextChar"/>
    <w:link w:val="BodyTextFirstIndent"/>
    <w:uiPriority w:val="99"/>
    <w:semiHidden/>
    <w:rPr>
      <w:rFonts w:eastAsia="Times New Roman" w:cs="Times New Roman"/>
    </w:rPr>
  </w:style>
  <w:style w:type="paragraph" w:styleId="BodyTextIndent">
    <w:name w:val="Body Text Indent"/>
    <w:basedOn w:val="Normal"/>
    <w:link w:val="BodyTextIndentChar"/>
    <w:uiPriority w:val="99"/>
    <w:semiHidden/>
    <w:unhideWhenUsed/>
    <w:pPr>
      <w:ind w:left="72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iCs/>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pos="9288"/>
      </w:tabs>
      <w:ind w:left="720" w:right="720" w:hanging="720"/>
      <w:jc w:val="center"/>
    </w:pPr>
    <w:rPr>
      <w:b/>
      <w:caps/>
    </w:rPr>
  </w:style>
  <w:style w:type="paragraph" w:styleId="TOC2">
    <w:name w:val="toc 2"/>
    <w:basedOn w:val="Normal"/>
    <w:next w:val="TOC3"/>
    <w:uiPriority w:val="39"/>
    <w:qFormat/>
    <w:pPr>
      <w:keepLines/>
      <w:tabs>
        <w:tab w:val="right" w:pos="9288"/>
      </w:tabs>
      <w:ind w:left="1440" w:right="720" w:hanging="720"/>
    </w:pPr>
  </w:style>
  <w:style w:type="paragraph" w:styleId="TOC3">
    <w:name w:val="toc 3"/>
    <w:basedOn w:val="Normal"/>
    <w:next w:val="TOC4"/>
    <w:uiPriority w:val="39"/>
    <w:pPr>
      <w:keepLines/>
      <w:tabs>
        <w:tab w:val="right" w:pos="9288"/>
      </w:tabs>
      <w:ind w:left="2160" w:right="720" w:hanging="720"/>
    </w:pPr>
  </w:style>
  <w:style w:type="paragraph" w:styleId="TOC4">
    <w:name w:val="toc 4"/>
    <w:basedOn w:val="Normal"/>
    <w:next w:val="TOC5"/>
    <w:uiPriority w:val="39"/>
    <w:pPr>
      <w:keepLines/>
      <w:tabs>
        <w:tab w:val="right" w:pos="9288"/>
      </w:tabs>
      <w:ind w:left="2880" w:right="720" w:hanging="720"/>
    </w:pPr>
  </w:style>
  <w:style w:type="paragraph" w:styleId="TOC5">
    <w:name w:val="toc 5"/>
    <w:basedOn w:val="Normal"/>
    <w:next w:val="TOC6"/>
    <w:uiPriority w:val="39"/>
    <w:pPr>
      <w:keepLines/>
      <w:tabs>
        <w:tab w:val="right" w:pos="9288"/>
      </w:tabs>
      <w:ind w:left="3600" w:right="720" w:hanging="720"/>
    </w:pPr>
  </w:style>
  <w:style w:type="paragraph" w:styleId="TOC6">
    <w:name w:val="toc 6"/>
    <w:basedOn w:val="Normal"/>
    <w:next w:val="TOC7"/>
    <w:uiPriority w:val="39"/>
    <w:semiHidden/>
    <w:unhideWhenUsed/>
    <w:pPr>
      <w:keepLines/>
      <w:tabs>
        <w:tab w:val="right" w:pos="9288"/>
      </w:tabs>
      <w:ind w:left="4320" w:right="720" w:hanging="720"/>
    </w:pPr>
  </w:style>
  <w:style w:type="paragraph" w:styleId="TOC7">
    <w:name w:val="toc 7"/>
    <w:basedOn w:val="Normal"/>
    <w:next w:val="TOC8"/>
    <w:uiPriority w:val="39"/>
    <w:semiHidden/>
    <w:unhideWhenUsed/>
    <w:pPr>
      <w:keepLines/>
      <w:tabs>
        <w:tab w:val="right" w:pos="9288"/>
      </w:tabs>
      <w:ind w:left="5040" w:right="720" w:hanging="720"/>
    </w:pPr>
  </w:style>
  <w:style w:type="paragraph" w:styleId="TOC8">
    <w:name w:val="toc 8"/>
    <w:basedOn w:val="Normal"/>
    <w:next w:val="TOC9"/>
    <w:uiPriority w:val="39"/>
    <w:semiHidden/>
    <w:unhideWhenUsed/>
    <w:pPr>
      <w:keepLines/>
      <w:tabs>
        <w:tab w:val="right" w:pos="9288"/>
      </w:tabs>
      <w:ind w:left="5760" w:right="720" w:hanging="720"/>
    </w:pPr>
  </w:style>
  <w:style w:type="paragraph" w:styleId="TOC9">
    <w:name w:val="toc 9"/>
    <w:basedOn w:val="Normal"/>
    <w:next w:val="Normal"/>
    <w:uiPriority w:val="39"/>
    <w:semiHidden/>
    <w:unhideWhenUsed/>
    <w:pPr>
      <w:keepLines/>
      <w:ind w:left="6480" w:right="720" w:hanging="720"/>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style>
  <w:style w:type="character" w:customStyle="1" w:styleId="BodyText2Char">
    <w:name w:val="Body Text 2 Char"/>
    <w:basedOn w:val="DefaultParagraphFont"/>
    <w:link w:val="BodyText2"/>
    <w:semiHidden/>
    <w:rPr>
      <w:rFonts w:eastAsia="Times New Roman" w:cs="Times New Roman"/>
    </w:rPr>
  </w:style>
  <w:style w:type="paragraph" w:styleId="BodyText3">
    <w:name w:val="Body Text 3"/>
    <w:basedOn w:val="Normal"/>
    <w:link w:val="BodyText3Char"/>
    <w:semiHidden/>
    <w:pPr>
      <w:spacing w:after="240"/>
    </w:pPr>
    <w:rPr>
      <w:sz w:val="16"/>
      <w:szCs w:val="16"/>
    </w:rPr>
  </w:style>
  <w:style w:type="character" w:customStyle="1" w:styleId="BodyText3Char">
    <w:name w:val="Body Text 3 Char"/>
    <w:basedOn w:val="DefaultParagraphFont"/>
    <w:link w:val="BodyText3"/>
    <w:semiHidden/>
    <w:rPr>
      <w:rFonts w:eastAsia="Times New Roman" w:cs="Times New Roman"/>
      <w:sz w:val="16"/>
      <w:szCs w:val="16"/>
    </w:rPr>
  </w:style>
  <w:style w:type="paragraph" w:styleId="BodyTextIndent2">
    <w:name w:val="Body Text Indent 2"/>
    <w:basedOn w:val="Normal"/>
    <w:link w:val="BodyTextIndent2Char"/>
    <w:semiHidden/>
    <w:pPr>
      <w:spacing w:after="240" w:line="480" w:lineRule="auto"/>
      <w:ind w:left="720"/>
    </w:pPr>
  </w:style>
  <w:style w:type="character" w:customStyle="1" w:styleId="BodyTextIndent2Char">
    <w:name w:val="Body Text Indent 2 Char"/>
    <w:basedOn w:val="DefaultParagraphFont"/>
    <w:link w:val="BodyTextIndent2"/>
    <w:semiHidden/>
    <w:rPr>
      <w:rFonts w:eastAsia="Times New Roman" w:cs="Times New Roman"/>
    </w:rPr>
  </w:style>
  <w:style w:type="paragraph" w:styleId="BodyTextIndent3">
    <w:name w:val="Body Text Indent 3"/>
    <w:basedOn w:val="Normal"/>
    <w:link w:val="BodyTextIndent3Char"/>
    <w:semiHidden/>
    <w:pPr>
      <w:spacing w:after="240"/>
      <w:ind w:left="720"/>
    </w:pPr>
    <w:rPr>
      <w:sz w:val="16"/>
      <w:szCs w:val="16"/>
    </w:rPr>
  </w:style>
  <w:style w:type="character" w:customStyle="1" w:styleId="BodyTextIndent3Char">
    <w:name w:val="Body Text Indent 3 Char"/>
    <w:basedOn w:val="DefaultParagraphFont"/>
    <w:link w:val="BodyTextIndent3"/>
    <w:semiHidden/>
    <w:rPr>
      <w:rFonts w:eastAsia="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Pr>
      <w:rFonts w:cs="Times New Roman"/>
      <w:i/>
      <w:iCs/>
    </w:rPr>
  </w:style>
  <w:style w:type="character" w:customStyle="1" w:styleId="zzmpTrailerItem">
    <w:name w:val="zzmpTrailerItem"/>
    <w:basedOn w:val="DefaultParagraphFont"/>
    <w:rPr>
      <w:rFonts w:ascii="Calibri" w:hAnsi="Calibri" w:cs="Times New Roman"/>
      <w:dstrike w:val="0"/>
      <w:noProof/>
      <w:color w:val="auto"/>
      <w:spacing w:val="0"/>
      <w:position w:val="0"/>
      <w:sz w:val="14"/>
      <w:szCs w:val="16"/>
      <w:u w:val="none"/>
      <w:effect w:val="none"/>
      <w:vertAlign w:val="baseline"/>
    </w:rPr>
  </w:style>
  <w:style w:type="paragraph" w:customStyle="1" w:styleId="H3">
    <w:name w:val="H3"/>
    <w:basedOn w:val="Normal"/>
    <w:next w:val="Normal"/>
    <w:uiPriority w:val="99"/>
    <w:pPr>
      <w:keepNext/>
      <w:autoSpaceDE w:val="0"/>
      <w:autoSpaceDN w:val="0"/>
      <w:adjustRightInd w:val="0"/>
      <w:spacing w:before="100" w:after="100"/>
      <w:outlineLvl w:val="3"/>
    </w:pPr>
    <w:rPr>
      <w:rFonts w:ascii="Times New Roman" w:eastAsiaTheme="minorHAnsi" w:hAnsi="Times New Roman"/>
      <w:b/>
      <w:bCs/>
      <w:sz w:val="28"/>
      <w:szCs w:val="28"/>
    </w:rPr>
  </w:style>
  <w:style w:type="paragraph" w:customStyle="1" w:styleId="H4">
    <w:name w:val="H4"/>
    <w:basedOn w:val="Normal"/>
    <w:next w:val="Normal"/>
    <w:uiPriority w:val="99"/>
    <w:pPr>
      <w:keepNext/>
      <w:autoSpaceDE w:val="0"/>
      <w:autoSpaceDN w:val="0"/>
      <w:adjustRightInd w:val="0"/>
      <w:spacing w:before="100" w:after="100"/>
      <w:outlineLvl w:val="4"/>
    </w:pPr>
    <w:rPr>
      <w:rFonts w:ascii="Times New Roman" w:eastAsiaTheme="minorHAnsi" w:hAnsi="Times New Roman"/>
      <w:b/>
      <w:bCs/>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3405</Words>
  <Characters>19412</Characters>
  <Application>Microsoft Office Word</Application>
  <DocSecurity>0</DocSecurity>
  <Lines>161</Lines>
  <Paragraphs>45</Paragraphs>
  <ScaleCrop>false</ScaleCrop>
  <LinksUpToDate>false</LinksUpToDate>
  <CharactersWithSpaces>22772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2009-02-13T20:45:00Z</cp:lastPrinted>
  <dcterms:created xsi:type="dcterms:W3CDTF">2015-11-17T20:48:00Z</dcterms:created>
  <dcterms:modified xsi:type="dcterms:W3CDTF">2015-11-17T20:48:00Z</dcterms:modified>
</cp:coreProperties>
</file>