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CellMar>
          <w:left w:w="0" w:type="dxa"/>
          <w:right w:w="0" w:type="dxa"/>
        </w:tblCellMar>
        <w:tblLook w:val="04A0" w:firstRow="1" w:lastRow="0" w:firstColumn="1" w:lastColumn="0" w:noHBand="0" w:noVBand="1"/>
      </w:tblPr>
      <w:tblGrid>
        <w:gridCol w:w="542"/>
        <w:gridCol w:w="8490"/>
      </w:tblGrid>
      <w:tr w:rsidR="001153C7" w:rsidTr="001153C7">
        <w:trPr>
          <w:tblCellSpacing w:w="0" w:type="dxa"/>
          <w:jc w:val="center"/>
        </w:trPr>
        <w:tc>
          <w:tcPr>
            <w:tcW w:w="300" w:type="pct"/>
            <w:shd w:val="clear" w:color="auto" w:fill="00338D"/>
            <w:vAlign w:val="center"/>
            <w:hideMark/>
          </w:tcPr>
          <w:tbl>
            <w:tblPr>
              <w:tblW w:w="375" w:type="dxa"/>
              <w:tblCellSpacing w:w="15" w:type="dxa"/>
              <w:tblCellMar>
                <w:left w:w="0" w:type="dxa"/>
                <w:right w:w="0" w:type="dxa"/>
              </w:tblCellMar>
              <w:tblLook w:val="04A0" w:firstRow="1" w:lastRow="0" w:firstColumn="1" w:lastColumn="0" w:noHBand="0" w:noVBand="1"/>
            </w:tblPr>
            <w:tblGrid>
              <w:gridCol w:w="375"/>
            </w:tblGrid>
            <w:tr w:rsidR="001153C7">
              <w:trPr>
                <w:tblCellSpacing w:w="15" w:type="dxa"/>
              </w:trPr>
              <w:tc>
                <w:tcPr>
                  <w:tcW w:w="0" w:type="auto"/>
                  <w:vAlign w:val="center"/>
                  <w:hideMark/>
                </w:tcPr>
                <w:p w:rsidR="001153C7" w:rsidRDefault="001153C7">
                  <w:pPr>
                    <w:rPr>
                      <w:rFonts w:ascii="Arial" w:eastAsia="Times New Roman" w:hAnsi="Arial" w:cs="Arial"/>
                      <w:sz w:val="18"/>
                      <w:szCs w:val="18"/>
                    </w:rPr>
                  </w:pPr>
                  <w:bookmarkStart w:id="0" w:name="_GoBack"/>
                  <w:bookmarkEnd w:id="0"/>
                  <w:r>
                    <w:rPr>
                      <w:rFonts w:ascii="Arial" w:hAnsi="Arial" w:cs="Arial"/>
                      <w:sz w:val="18"/>
                      <w:szCs w:val="18"/>
                    </w:rPr>
                    <w:t> </w:t>
                  </w:r>
                </w:p>
              </w:tc>
            </w:tr>
          </w:tbl>
          <w:p w:rsidR="001153C7" w:rsidRDefault="001153C7">
            <w:pPr>
              <w:rPr>
                <w:rFonts w:eastAsia="Times New Roman"/>
                <w:sz w:val="20"/>
                <w:szCs w:val="20"/>
              </w:rPr>
            </w:pPr>
          </w:p>
        </w:tc>
        <w:tc>
          <w:tcPr>
            <w:tcW w:w="8490" w:type="dxa"/>
            <w:shd w:val="clear" w:color="auto" w:fill="FFFFFF"/>
            <w:vAlign w:val="center"/>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8490"/>
            </w:tblGrid>
            <w:tr w:rsidR="001153C7">
              <w:trPr>
                <w:tblCellSpacing w:w="0" w:type="dxa"/>
              </w:trPr>
              <w:tc>
                <w:tcPr>
                  <w:tcW w:w="8490" w:type="dxa"/>
                  <w:shd w:val="clear" w:color="auto" w:fill="FFFFFF"/>
                  <w:vAlign w:val="center"/>
                  <w:hideMark/>
                </w:tcPr>
                <w:p w:rsidR="001153C7" w:rsidRDefault="001153C7">
                  <w:pPr>
                    <w:rPr>
                      <w:rFonts w:ascii="Arial" w:hAnsi="Arial" w:cs="Arial"/>
                      <w:sz w:val="18"/>
                      <w:szCs w:val="18"/>
                    </w:rPr>
                  </w:pPr>
                  <w:r>
                    <w:rPr>
                      <w:noProof/>
                    </w:rPr>
                    <w:drawing>
                      <wp:inline distT="0" distB="0" distL="0" distR="0">
                        <wp:extent cx="5391150" cy="2027555"/>
                        <wp:effectExtent l="0" t="0" r="0" b="0"/>
                        <wp:docPr id="8" name="Picture 8" descr="TaxWatch web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xWatch webca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2027555"/>
                                </a:xfrm>
                                <a:prstGeom prst="rect">
                                  <a:avLst/>
                                </a:prstGeom>
                                <a:noFill/>
                                <a:ln>
                                  <a:noFill/>
                                </a:ln>
                              </pic:spPr>
                            </pic:pic>
                          </a:graphicData>
                        </a:graphic>
                      </wp:inline>
                    </w:drawing>
                  </w:r>
                </w:p>
              </w:tc>
            </w:tr>
          </w:tbl>
          <w:p w:rsidR="001153C7" w:rsidRDefault="001153C7">
            <w:pPr>
              <w:rPr>
                <w:rFonts w:ascii="Arial" w:hAnsi="Arial" w:cs="Arial"/>
                <w:color w:val="000000"/>
                <w:sz w:val="18"/>
                <w:szCs w:val="18"/>
              </w:rPr>
            </w:pPr>
          </w:p>
          <w:tbl>
            <w:tblPr>
              <w:tblW w:w="0" w:type="auto"/>
              <w:tblCellSpacing w:w="0" w:type="dxa"/>
              <w:tblInd w:w="375" w:type="dxa"/>
              <w:tblCellMar>
                <w:left w:w="0" w:type="dxa"/>
                <w:right w:w="0" w:type="dxa"/>
              </w:tblCellMar>
              <w:tblLook w:val="04A0" w:firstRow="1" w:lastRow="0" w:firstColumn="1" w:lastColumn="0" w:noHBand="0" w:noVBand="1"/>
            </w:tblPr>
            <w:tblGrid>
              <w:gridCol w:w="8115"/>
            </w:tblGrid>
            <w:tr w:rsidR="001153C7">
              <w:trPr>
                <w:tblCellSpacing w:w="0" w:type="dxa"/>
              </w:trPr>
              <w:tc>
                <w:tcPr>
                  <w:tcW w:w="8250" w:type="dxa"/>
                  <w:shd w:val="clear" w:color="auto" w:fill="FFFFFF"/>
                  <w:vAlign w:val="center"/>
                  <w:hideMark/>
                </w:tcPr>
                <w:p w:rsidR="001153C7" w:rsidRDefault="001153C7">
                  <w:pPr>
                    <w:pStyle w:val="Heading2"/>
                    <w:spacing w:before="225"/>
                  </w:pPr>
                  <w:r>
                    <w:t>Managing CBP’s new approach to Audits</w:t>
                  </w:r>
                </w:p>
                <w:tbl>
                  <w:tblPr>
                    <w:tblpPr w:leftFromText="45" w:rightFromText="45" w:topFromText="150" w:vertAnchor="text"/>
                    <w:tblW w:w="0" w:type="auto"/>
                    <w:tblCellSpacing w:w="0" w:type="dxa"/>
                    <w:tblCellMar>
                      <w:left w:w="0" w:type="dxa"/>
                      <w:right w:w="0" w:type="dxa"/>
                    </w:tblCellMar>
                    <w:tblLook w:val="04A0" w:firstRow="1" w:lastRow="0" w:firstColumn="1" w:lastColumn="0" w:noHBand="0" w:noVBand="1"/>
                  </w:tblPr>
                  <w:tblGrid>
                    <w:gridCol w:w="2775"/>
                    <w:gridCol w:w="3000"/>
                    <w:gridCol w:w="1770"/>
                  </w:tblGrid>
                  <w:tr w:rsidR="001153C7">
                    <w:trPr>
                      <w:tblCellSpacing w:w="0" w:type="dxa"/>
                    </w:trPr>
                    <w:tc>
                      <w:tcPr>
                        <w:tcW w:w="2775" w:type="dxa"/>
                        <w:tcMar>
                          <w:top w:w="75" w:type="dxa"/>
                          <w:left w:w="0" w:type="dxa"/>
                          <w:bottom w:w="75" w:type="dxa"/>
                          <w:right w:w="0" w:type="dxa"/>
                        </w:tcMar>
                        <w:hideMark/>
                      </w:tcPr>
                      <w:p w:rsidR="001153C7" w:rsidRDefault="001153C7">
                        <w:pPr>
                          <w:pStyle w:val="Heading4"/>
                          <w:spacing w:before="0" w:line="240" w:lineRule="atLeast"/>
                          <w:ind w:right="375"/>
                          <w:rPr>
                            <w:rFonts w:ascii="Arial" w:hAnsi="Arial" w:cs="Arial"/>
                            <w:i w:val="0"/>
                            <w:color w:val="0091DA"/>
                            <w:sz w:val="18"/>
                            <w:szCs w:val="18"/>
                          </w:rPr>
                        </w:pPr>
                        <w:r>
                          <w:rPr>
                            <w:rStyle w:val="Strong"/>
                            <w:b w:val="0"/>
                            <w:bCs w:val="0"/>
                            <w:i w:val="0"/>
                            <w:sz w:val="18"/>
                            <w:szCs w:val="18"/>
                          </w:rPr>
                          <w:t>Date:</w:t>
                        </w:r>
                        <w:r>
                          <w:rPr>
                            <w:rFonts w:ascii="Arial" w:hAnsi="Arial" w:cs="Arial"/>
                            <w:i w:val="0"/>
                            <w:color w:val="0091DA"/>
                            <w:sz w:val="18"/>
                            <w:szCs w:val="18"/>
                          </w:rPr>
                          <w:br/>
                        </w:r>
                        <w:r>
                          <w:rPr>
                            <w:rFonts w:ascii="Arial" w:hAnsi="Arial" w:cs="Arial"/>
                            <w:b/>
                            <w:bCs/>
                            <w:i w:val="0"/>
                            <w:color w:val="0091DA"/>
                            <w:sz w:val="18"/>
                            <w:szCs w:val="18"/>
                          </w:rPr>
                          <w:t>Monday, December 5, 2016</w:t>
                        </w:r>
                      </w:p>
                    </w:tc>
                    <w:tc>
                      <w:tcPr>
                        <w:tcW w:w="3000" w:type="dxa"/>
                        <w:tcMar>
                          <w:top w:w="75" w:type="dxa"/>
                          <w:left w:w="0" w:type="dxa"/>
                          <w:bottom w:w="75" w:type="dxa"/>
                          <w:right w:w="0" w:type="dxa"/>
                        </w:tcMar>
                        <w:hideMark/>
                      </w:tcPr>
                      <w:p w:rsidR="001153C7" w:rsidRDefault="001153C7">
                        <w:pPr>
                          <w:pStyle w:val="Heading4"/>
                          <w:spacing w:before="0" w:line="240" w:lineRule="atLeast"/>
                          <w:ind w:right="375"/>
                          <w:rPr>
                            <w:rFonts w:ascii="Arial" w:hAnsi="Arial" w:cs="Arial"/>
                            <w:b/>
                            <w:bCs/>
                            <w:i w:val="0"/>
                            <w:color w:val="0091DA"/>
                            <w:sz w:val="18"/>
                            <w:szCs w:val="18"/>
                          </w:rPr>
                        </w:pPr>
                        <w:r>
                          <w:rPr>
                            <w:rStyle w:val="Strong"/>
                            <w:b w:val="0"/>
                            <w:bCs w:val="0"/>
                            <w:i w:val="0"/>
                            <w:sz w:val="18"/>
                            <w:szCs w:val="18"/>
                          </w:rPr>
                          <w:t>Time:</w:t>
                        </w:r>
                        <w:r>
                          <w:rPr>
                            <w:rFonts w:ascii="Arial" w:hAnsi="Arial" w:cs="Arial"/>
                            <w:i w:val="0"/>
                            <w:color w:val="0091DA"/>
                            <w:sz w:val="18"/>
                            <w:szCs w:val="18"/>
                          </w:rPr>
                          <w:br/>
                        </w:r>
                        <w:r>
                          <w:rPr>
                            <w:rFonts w:ascii="Arial" w:hAnsi="Arial" w:cs="Arial"/>
                            <w:b/>
                            <w:bCs/>
                            <w:i w:val="0"/>
                            <w:color w:val="0091DA"/>
                            <w:sz w:val="18"/>
                            <w:szCs w:val="18"/>
                          </w:rPr>
                          <w:t>2:00 p.m. – 3:00 p.m. (U.S EST)</w:t>
                        </w:r>
                      </w:p>
                      <w:p w:rsidR="001153C7" w:rsidRDefault="001153C7">
                        <w:pPr>
                          <w:pStyle w:val="NormalWeb"/>
                          <w:spacing w:before="0" w:beforeAutospacing="0" w:after="0" w:afterAutospacing="0" w:line="280" w:lineRule="atLeast"/>
                          <w:rPr>
                            <w:rFonts w:ascii="Arial" w:hAnsi="Arial" w:cs="Arial"/>
                            <w:color w:val="000000"/>
                            <w:sz w:val="19"/>
                            <w:szCs w:val="19"/>
                          </w:rPr>
                        </w:pPr>
                        <w:r>
                          <w:rPr>
                            <w:rFonts w:ascii="Arial" w:hAnsi="Arial" w:cs="Arial"/>
                            <w:color w:val="000000"/>
                            <w:sz w:val="19"/>
                            <w:szCs w:val="19"/>
                          </w:rPr>
                          <w:t> </w:t>
                        </w:r>
                      </w:p>
                    </w:tc>
                    <w:tc>
                      <w:tcPr>
                        <w:tcW w:w="1770" w:type="dxa"/>
                        <w:tcMar>
                          <w:top w:w="75" w:type="dxa"/>
                          <w:left w:w="0" w:type="dxa"/>
                          <w:bottom w:w="75" w:type="dxa"/>
                          <w:right w:w="0" w:type="dxa"/>
                        </w:tcMar>
                        <w:hideMark/>
                      </w:tcPr>
                      <w:p w:rsidR="001153C7" w:rsidRDefault="001153C7">
                        <w:pPr>
                          <w:pStyle w:val="Heading4"/>
                          <w:spacing w:before="0" w:line="240" w:lineRule="atLeast"/>
                          <w:ind w:right="375"/>
                          <w:rPr>
                            <w:rFonts w:ascii="Arial" w:hAnsi="Arial" w:cs="Arial"/>
                            <w:color w:val="0091DA"/>
                            <w:sz w:val="18"/>
                            <w:szCs w:val="18"/>
                          </w:rPr>
                        </w:pPr>
                        <w:r>
                          <w:rPr>
                            <w:rFonts w:ascii="Arial" w:hAnsi="Arial" w:cs="Arial"/>
                            <w:b/>
                            <w:bCs/>
                            <w:color w:val="0091DA"/>
                            <w:sz w:val="18"/>
                            <w:szCs w:val="18"/>
                          </w:rPr>
                          <w:t> </w:t>
                        </w:r>
                      </w:p>
                    </w:tc>
                  </w:tr>
                </w:tbl>
                <w:p w:rsidR="001153C7" w:rsidRDefault="001153C7">
                  <w:pPr>
                    <w:rPr>
                      <w:rFonts w:eastAsia="Times New Roman"/>
                      <w:sz w:val="20"/>
                      <w:szCs w:val="20"/>
                    </w:rPr>
                  </w:pPr>
                </w:p>
              </w:tc>
            </w:tr>
          </w:tbl>
          <w:p w:rsidR="001153C7" w:rsidRDefault="001153C7">
            <w:pPr>
              <w:rPr>
                <w:rFonts w:ascii="Arial" w:hAnsi="Arial" w:cs="Arial"/>
                <w:vanish/>
                <w:color w:val="000000"/>
                <w:sz w:val="18"/>
                <w:szCs w:val="18"/>
              </w:rPr>
            </w:pPr>
          </w:p>
          <w:tbl>
            <w:tblPr>
              <w:tblW w:w="0" w:type="auto"/>
              <w:tblCellSpacing w:w="0" w:type="dxa"/>
              <w:tblInd w:w="375" w:type="dxa"/>
              <w:tblCellMar>
                <w:left w:w="0" w:type="dxa"/>
                <w:right w:w="0" w:type="dxa"/>
              </w:tblCellMar>
              <w:tblLook w:val="04A0" w:firstRow="1" w:lastRow="0" w:firstColumn="1" w:lastColumn="0" w:noHBand="0" w:noVBand="1"/>
            </w:tblPr>
            <w:tblGrid>
              <w:gridCol w:w="8115"/>
            </w:tblGrid>
            <w:tr w:rsidR="001153C7">
              <w:trPr>
                <w:trHeight w:val="150"/>
                <w:tblCellSpacing w:w="0" w:type="dxa"/>
              </w:trPr>
              <w:tc>
                <w:tcPr>
                  <w:tcW w:w="8115" w:type="dxa"/>
                  <w:shd w:val="clear" w:color="auto" w:fill="FFFFFF"/>
                  <w:vAlign w:val="center"/>
                  <w:hideMark/>
                </w:tcPr>
                <w:p w:rsidR="001153C7" w:rsidRDefault="001153C7">
                  <w:pPr>
                    <w:pStyle w:val="paragraph"/>
                  </w:pPr>
                  <w:r>
                    <w:rPr>
                      <w:noProof/>
                    </w:rPr>
                    <w:drawing>
                      <wp:inline distT="0" distB="0" distL="0" distR="0">
                        <wp:extent cx="1121410" cy="318135"/>
                        <wp:effectExtent l="0" t="0" r="2540" b="5715"/>
                        <wp:docPr id="7" name="Picture 7" descr="Register for Webcast">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gister for Webcast">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1410" cy="318135"/>
                                </a:xfrm>
                                <a:prstGeom prst="rect">
                                  <a:avLst/>
                                </a:prstGeom>
                                <a:noFill/>
                                <a:ln>
                                  <a:noFill/>
                                </a:ln>
                              </pic:spPr>
                            </pic:pic>
                          </a:graphicData>
                        </a:graphic>
                      </wp:inline>
                    </w:drawing>
                  </w:r>
                  <w:r>
                    <w:rPr>
                      <w:noProof/>
                    </w:rPr>
                    <mc:AlternateContent>
                      <mc:Choice Requires="wps">
                        <w:drawing>
                          <wp:inline distT="0" distB="0" distL="0" distR="0">
                            <wp:extent cx="1123950" cy="314325"/>
                            <wp:effectExtent l="0" t="0" r="0" b="0"/>
                            <wp:docPr id="11" name="Rectangle 11" descr="Register for Webcas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6F23F" id="Rectangle 11" o:spid="_x0000_s1026" alt="Register for Webcast" href="https://www.kpmg-institutes.com/institutes/taxwatch/events/2016/11/managing-cbps-new-approach-to-audits.html" target="&quot;_blank&quot;" style="width: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" o:button="t" filled="f" stroked="f">
                            <v:fill o:detectmouseclick="t"/>
                            <o:lock v:ext="edit" aspectratio="t"/>
                            <w10:anchorlock/>
                          </v:rect>
                        </w:pict>
                      </mc:Fallback>
                    </mc:AlternateContent>
                  </w:r>
                </w:p>
              </w:tc>
            </w:tr>
            <w:tr w:rsidR="001153C7">
              <w:trPr>
                <w:tblCellSpacing w:w="0" w:type="dxa"/>
              </w:trPr>
              <w:tc>
                <w:tcPr>
                  <w:tcW w:w="8115" w:type="dxa"/>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0"/>
                    <w:gridCol w:w="1575"/>
                  </w:tblGrid>
                  <w:tr w:rsidR="001153C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000"/>
                        </w:tblGrid>
                        <w:tr w:rsidR="001153C7">
                          <w:trPr>
                            <w:trHeight w:val="570"/>
                            <w:tblCellSpacing w:w="0" w:type="dxa"/>
                          </w:trPr>
                          <w:tc>
                            <w:tcPr>
                              <w:tcW w:w="6000" w:type="dxa"/>
                              <w:shd w:val="clear" w:color="auto" w:fill="FFFFFF"/>
                              <w:vAlign w:val="center"/>
                              <w:hideMark/>
                            </w:tcPr>
                            <w:p w:rsidR="001153C7" w:rsidRDefault="001153C7">
                              <w:pPr>
                                <w:pStyle w:val="NormalWeb"/>
                                <w:spacing w:before="0" w:beforeAutospacing="0" w:after="300" w:afterAutospacing="0" w:line="280" w:lineRule="atLeast"/>
                                <w:rPr>
                                  <w:rFonts w:ascii="Arial" w:hAnsi="Arial" w:cs="Arial"/>
                                  <w:color w:val="000000"/>
                                  <w:sz w:val="19"/>
                                  <w:szCs w:val="19"/>
                                </w:rPr>
                              </w:pPr>
                              <w:r>
                                <w:rPr>
                                  <w:rFonts w:ascii="Arial" w:hAnsi="Arial" w:cs="Arial"/>
                                  <w:color w:val="000000"/>
                                  <w:sz w:val="19"/>
                                  <w:szCs w:val="19"/>
                                </w:rPr>
                                <w:t>A significant number of U.S. importers have recently been put on notice of their standing obligations to be compliant with customs laws. These companies received letters from U.S. Customs and Border Protection (CBP) Regulatory Audit encouraging them to review their recent trade data and available Informed Compliance Publications. These letters explained to the recipient the potential enforcement actions in the event of non-compliance.</w:t>
                              </w:r>
                            </w:p>
                            <w:p w:rsidR="001153C7" w:rsidRDefault="001153C7">
                              <w:pPr>
                                <w:pStyle w:val="NormalWeb"/>
                                <w:spacing w:before="0" w:beforeAutospacing="0" w:after="300" w:afterAutospacing="0" w:line="280" w:lineRule="atLeast"/>
                                <w:rPr>
                                  <w:rFonts w:ascii="Arial" w:hAnsi="Arial" w:cs="Arial"/>
                                  <w:color w:val="000000"/>
                                  <w:sz w:val="19"/>
                                  <w:szCs w:val="19"/>
                                </w:rPr>
                              </w:pPr>
                              <w:r>
                                <w:rPr>
                                  <w:rFonts w:ascii="Arial" w:hAnsi="Arial" w:cs="Arial"/>
                                  <w:color w:val="000000"/>
                                  <w:sz w:val="19"/>
                                  <w:szCs w:val="19"/>
                                </w:rPr>
                                <w:t>The issuance of this notice has raised concerns and questions among the importing community.</w:t>
                              </w:r>
                            </w:p>
                            <w:p w:rsidR="001153C7" w:rsidRDefault="001153C7">
                              <w:pPr>
                                <w:pStyle w:val="NormalWeb"/>
                                <w:spacing w:before="0" w:beforeAutospacing="0" w:after="300" w:afterAutospacing="0" w:line="280" w:lineRule="atLeast"/>
                                <w:rPr>
                                  <w:rFonts w:ascii="Arial" w:hAnsi="Arial" w:cs="Arial"/>
                                  <w:color w:val="000000"/>
                                  <w:sz w:val="19"/>
                                  <w:szCs w:val="19"/>
                                </w:rPr>
                              </w:pPr>
                              <w:r>
                                <w:rPr>
                                  <w:rFonts w:ascii="Arial" w:hAnsi="Arial" w:cs="Arial"/>
                                  <w:color w:val="000000"/>
                                  <w:sz w:val="19"/>
                                  <w:szCs w:val="19"/>
                                </w:rPr>
                                <w:t>KPMG LLP (KPMG) is pleased to invite you to a 60-minute Webcast to explore CBP’s intent, audit methodologies and current areas of audit emphasis. Professionals from KPMG’s Trade and Customs Practice as well as guest speakers from CBP Office of Trade’s Regulatory Audit will provide background and insight into these recent developments and will also discuss the potential impact on US importers.</w:t>
                              </w:r>
                            </w:p>
                            <w:p w:rsidR="001153C7" w:rsidRDefault="001153C7">
                              <w:pPr>
                                <w:pStyle w:val="NormalWeb"/>
                                <w:spacing w:before="0" w:beforeAutospacing="0" w:after="300" w:afterAutospacing="0" w:line="280" w:lineRule="atLeast"/>
                                <w:rPr>
                                  <w:rFonts w:ascii="Arial" w:hAnsi="Arial" w:cs="Arial"/>
                                  <w:color w:val="000000"/>
                                  <w:sz w:val="19"/>
                                  <w:szCs w:val="19"/>
                                </w:rPr>
                              </w:pPr>
                              <w:r>
                                <w:rPr>
                                  <w:rFonts w:ascii="Arial" w:hAnsi="Arial" w:cs="Arial"/>
                                  <w:color w:val="000000"/>
                                  <w:sz w:val="19"/>
                                  <w:szCs w:val="19"/>
                                </w:rPr>
                                <w:t>Specifically, the Webcast will cover:</w:t>
                              </w:r>
                            </w:p>
                            <w:p w:rsidR="001153C7" w:rsidRDefault="001153C7">
                              <w:pPr>
                                <w:pStyle w:val="NormalWeb"/>
                                <w:spacing w:before="0" w:beforeAutospacing="0" w:after="300" w:afterAutospacing="0" w:line="276" w:lineRule="auto"/>
                                <w:rPr>
                                  <w:rFonts w:ascii="Arial" w:hAnsi="Arial" w:cs="Arial"/>
                                  <w:color w:val="000000"/>
                                  <w:sz w:val="19"/>
                                  <w:szCs w:val="19"/>
                                </w:rPr>
                              </w:pPr>
                              <w:r>
                                <w:rPr>
                                  <w:rFonts w:ascii="Arial" w:hAnsi="Arial" w:cs="Arial"/>
                                  <w:color w:val="000000"/>
                                  <w:sz w:val="19"/>
                                  <w:szCs w:val="19"/>
                                </w:rPr>
                                <w:sym w:font="Symbol" w:char="F0BE"/>
                              </w:r>
                              <w:r>
                                <w:rPr>
                                  <w:rFonts w:ascii="Arial" w:hAnsi="Arial" w:cs="Arial"/>
                                  <w:color w:val="000000"/>
                                  <w:sz w:val="19"/>
                                  <w:szCs w:val="19"/>
                                </w:rPr>
                                <w:t xml:space="preserve"> Rationale and importance of the informed compliance letters </w:t>
                              </w:r>
                              <w:r>
                                <w:rPr>
                                  <w:rFonts w:ascii="Arial" w:hAnsi="Arial" w:cs="Arial"/>
                                  <w:color w:val="000000"/>
                                  <w:sz w:val="19"/>
                                  <w:szCs w:val="19"/>
                                </w:rPr>
                                <w:br/>
                                <w:t xml:space="preserve">     issued by Regulatory Audit</w:t>
                              </w:r>
                              <w:r>
                                <w:rPr>
                                  <w:rFonts w:ascii="Arial" w:hAnsi="Arial" w:cs="Arial"/>
                                  <w:color w:val="000000"/>
                                  <w:sz w:val="19"/>
                                  <w:szCs w:val="19"/>
                                </w:rPr>
                                <w:br/>
                              </w:r>
                              <w:r>
                                <w:rPr>
                                  <w:rFonts w:ascii="Arial" w:hAnsi="Arial" w:cs="Arial"/>
                                  <w:color w:val="000000"/>
                                  <w:sz w:val="19"/>
                                  <w:szCs w:val="19"/>
                                </w:rPr>
                                <w:sym w:font="Symbol" w:char="F0BE"/>
                              </w:r>
                              <w:r>
                                <w:rPr>
                                  <w:rFonts w:ascii="Arial" w:hAnsi="Arial" w:cs="Arial"/>
                                  <w:color w:val="000000"/>
                                  <w:sz w:val="19"/>
                                  <w:szCs w:val="19"/>
                                </w:rPr>
                                <w:t xml:space="preserve"> Differences between audits, surveys and focused assessments</w:t>
                              </w:r>
                              <w:r>
                                <w:rPr>
                                  <w:rFonts w:ascii="Arial" w:hAnsi="Arial" w:cs="Arial"/>
                                  <w:color w:val="000000"/>
                                  <w:sz w:val="19"/>
                                  <w:szCs w:val="19"/>
                                </w:rPr>
                                <w:br/>
                              </w:r>
                              <w:r>
                                <w:rPr>
                                  <w:rFonts w:ascii="Arial" w:hAnsi="Arial" w:cs="Arial"/>
                                  <w:color w:val="000000"/>
                                  <w:sz w:val="19"/>
                                  <w:szCs w:val="19"/>
                                </w:rPr>
                                <w:lastRenderedPageBreak/>
                                <w:sym w:font="Symbol" w:char="F0BE"/>
                              </w:r>
                              <w:r>
                                <w:rPr>
                                  <w:rFonts w:ascii="Arial" w:hAnsi="Arial" w:cs="Arial"/>
                                  <w:color w:val="000000"/>
                                  <w:sz w:val="19"/>
                                  <w:szCs w:val="19"/>
                                </w:rPr>
                                <w:t xml:space="preserve"> What this all means for importers and how to ensure you are</w:t>
                              </w:r>
                              <w:r>
                                <w:rPr>
                                  <w:rFonts w:ascii="Arial" w:hAnsi="Arial" w:cs="Arial"/>
                                  <w:color w:val="000000"/>
                                  <w:sz w:val="19"/>
                                  <w:szCs w:val="19"/>
                                </w:rPr>
                                <w:br/>
                                <w:t xml:space="preserve">     compliant</w:t>
                              </w:r>
                            </w:p>
                            <w:p w:rsidR="001153C7" w:rsidRDefault="001153C7">
                              <w:pPr>
                                <w:pStyle w:val="NormalWeb"/>
                                <w:spacing w:before="0" w:beforeAutospacing="0" w:after="300" w:afterAutospacing="0" w:line="280" w:lineRule="atLeast"/>
                                <w:rPr>
                                  <w:rFonts w:ascii="Arial" w:hAnsi="Arial" w:cs="Arial"/>
                                  <w:color w:val="000000"/>
                                  <w:sz w:val="19"/>
                                  <w:szCs w:val="19"/>
                                </w:rPr>
                              </w:pPr>
                              <w:r>
                                <w:rPr>
                                  <w:rFonts w:ascii="Arial" w:hAnsi="Arial" w:cs="Arial"/>
                                  <w:color w:val="000000"/>
                                  <w:sz w:val="19"/>
                                  <w:szCs w:val="19"/>
                                </w:rPr>
                                <w:t>Please join us for what promises to be an insightful and informative Webcast.</w:t>
                              </w:r>
                            </w:p>
                            <w:p w:rsidR="001153C7" w:rsidRDefault="001153C7">
                              <w:pPr>
                                <w:pStyle w:val="paragraph"/>
                              </w:pPr>
                              <w:r>
                                <w:rPr>
                                  <w:noProof/>
                                </w:rPr>
                                <w:drawing>
                                  <wp:inline distT="0" distB="0" distL="0" distR="0">
                                    <wp:extent cx="1121410" cy="318135"/>
                                    <wp:effectExtent l="0" t="0" r="2540" b="5715"/>
                                    <wp:docPr id="6" name="Picture 6" descr="Register for Webcast">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gister for Webcast">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1410" cy="318135"/>
                                            </a:xfrm>
                                            <a:prstGeom prst="rect">
                                              <a:avLst/>
                                            </a:prstGeom>
                                            <a:noFill/>
                                            <a:ln>
                                              <a:noFill/>
                                            </a:ln>
                                          </pic:spPr>
                                        </pic:pic>
                                      </a:graphicData>
                                    </a:graphic>
                                  </wp:inline>
                                </w:drawing>
                              </w:r>
                              <w:r>
                                <w:rPr>
                                  <w:noProof/>
                                </w:rPr>
                                <mc:AlternateContent>
                                  <mc:Choice Requires="wps">
                                    <w:drawing>
                                      <wp:inline distT="0" distB="0" distL="0" distR="0">
                                        <wp:extent cx="1123950" cy="314325"/>
                                        <wp:effectExtent l="0" t="0" r="0" b="0"/>
                                        <wp:docPr id="10" name="Rectangle 10" descr="Register for Webcas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287CB" id="Rectangle 10" o:spid="_x0000_s1026" alt="Register for Webcast" href="https://www.kpmg-institutes.com/institutes/taxwatch/events/2016/11/managing-cbps-new-approach-to-audits.html" target="&quot;_blank&quot;" style="width: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" o:button="t" filled="f" stroked="f">
                                        <v:fill o:detectmouseclick="t"/>
                                        <o:lock v:ext="edit" aspectratio="t"/>
                                        <w10:anchorlock/>
                                      </v:rect>
                                    </w:pict>
                                  </mc:Fallback>
                                </mc:AlternateContent>
                              </w:r>
                            </w:p>
                            <w:p w:rsidR="001153C7" w:rsidRDefault="001153C7">
                              <w:pPr>
                                <w:pStyle w:val="NormalWeb"/>
                                <w:spacing w:before="0" w:beforeAutospacing="0" w:after="300" w:afterAutospacing="0" w:line="280" w:lineRule="atLeast"/>
                                <w:rPr>
                                  <w:rFonts w:ascii="Arial" w:hAnsi="Arial" w:cs="Arial"/>
                                  <w:color w:val="000000"/>
                                  <w:sz w:val="19"/>
                                  <w:szCs w:val="19"/>
                                </w:rPr>
                              </w:pPr>
                              <w:r>
                                <w:rPr>
                                  <w:rFonts w:ascii="Arial" w:hAnsi="Arial" w:cs="Arial"/>
                                  <w:color w:val="000000"/>
                                  <w:sz w:val="19"/>
                                  <w:szCs w:val="19"/>
                                </w:rPr>
                                <w:t>After registering, you will receive details on how to log in to the Webcast or dial in for audio-only participation. Continuing professional education (CPE) credit is available to U.S. participants who meet the eligibility requirements.</w:t>
                              </w:r>
                            </w:p>
                            <w:tbl>
                              <w:tblPr>
                                <w:tblW w:w="5000" w:type="pct"/>
                                <w:tblCellMar>
                                  <w:left w:w="0" w:type="dxa"/>
                                  <w:right w:w="0" w:type="dxa"/>
                                </w:tblCellMar>
                                <w:tblLook w:val="04A0" w:firstRow="1" w:lastRow="0" w:firstColumn="1" w:lastColumn="0" w:noHBand="0" w:noVBand="1"/>
                              </w:tblPr>
                              <w:tblGrid>
                                <w:gridCol w:w="5984"/>
                              </w:tblGrid>
                              <w:tr w:rsidR="001153C7">
                                <w:trPr>
                                  <w:trHeight w:val="4111"/>
                                </w:trPr>
                                <w:tc>
                                  <w:tcPr>
                                    <w:tcW w:w="0" w:type="auto"/>
                                    <w:tcBorders>
                                      <w:top w:val="single" w:sz="6" w:space="0" w:color="B2B2B2"/>
                                      <w:left w:val="single" w:sz="6" w:space="0" w:color="B2B2B2"/>
                                      <w:bottom w:val="single" w:sz="6" w:space="0" w:color="B2B2B2"/>
                                      <w:right w:val="single" w:sz="6" w:space="0" w:color="B2B2B2"/>
                                    </w:tcBorders>
                                    <w:tcMar>
                                      <w:top w:w="150" w:type="dxa"/>
                                      <w:left w:w="150" w:type="dxa"/>
                                      <w:bottom w:w="150" w:type="dxa"/>
                                      <w:right w:w="150" w:type="dxa"/>
                                    </w:tcMar>
                                    <w:vAlign w:val="center"/>
                                  </w:tcPr>
                                  <w:p w:rsidR="001153C7" w:rsidRDefault="001153C7">
                                    <w:pPr>
                                      <w:pStyle w:val="boxtext"/>
                                      <w:spacing w:before="0" w:beforeAutospacing="0" w:after="150" w:afterAutospacing="0"/>
                                      <w:rPr>
                                        <w:rFonts w:ascii="Arial" w:hAnsi="Arial" w:cs="Arial"/>
                                        <w:color w:val="0091DA"/>
                                        <w:sz w:val="20"/>
                                        <w:szCs w:val="20"/>
                                      </w:rPr>
                                    </w:pPr>
                                    <w:r>
                                      <w:rPr>
                                        <w:rStyle w:val="Strong"/>
                                        <w:rFonts w:ascii="Arial" w:eastAsiaTheme="minorEastAsia" w:hAnsi="Arial" w:cs="Arial"/>
                                        <w:sz w:val="20"/>
                                        <w:szCs w:val="20"/>
                                      </w:rPr>
                                      <w:t>Presenters</w:t>
                                    </w:r>
                                  </w:p>
                                  <w:p w:rsidR="001153C7" w:rsidRDefault="001153C7">
                                    <w:pPr>
                                      <w:pStyle w:val="boxtext"/>
                                      <w:spacing w:before="0" w:beforeAutospacing="0" w:after="150" w:afterAutospacing="0"/>
                                      <w:rPr>
                                        <w:rFonts w:ascii="Arial" w:hAnsi="Arial" w:cs="Arial"/>
                                        <w:color w:val="000000"/>
                                        <w:sz w:val="16"/>
                                        <w:szCs w:val="16"/>
                                      </w:rPr>
                                    </w:pPr>
                                    <w:r>
                                      <w:rPr>
                                        <w:rStyle w:val="Strong"/>
                                        <w:rFonts w:ascii="Arial" w:eastAsiaTheme="minorEastAsia" w:hAnsi="Arial" w:cs="Arial"/>
                                        <w:color w:val="000000"/>
                                        <w:sz w:val="16"/>
                                        <w:szCs w:val="16"/>
                                      </w:rPr>
                                      <w:t>Douglas Zuvich</w:t>
                                    </w:r>
                                    <w:r>
                                      <w:rPr>
                                        <w:rFonts w:ascii="Arial" w:hAnsi="Arial" w:cs="Arial"/>
                                        <w:b/>
                                        <w:bCs/>
                                        <w:color w:val="000000"/>
                                        <w:sz w:val="16"/>
                                        <w:szCs w:val="16"/>
                                      </w:rPr>
                                      <w:br/>
                                    </w:r>
                                    <w:r>
                                      <w:rPr>
                                        <w:rFonts w:ascii="Arial" w:hAnsi="Arial" w:cs="Arial"/>
                                        <w:color w:val="000000"/>
                                        <w:sz w:val="16"/>
                                        <w:szCs w:val="16"/>
                                      </w:rPr>
                                      <w:t>Partner, Trade &amp; Customs, KPMG LLP</w:t>
                                    </w:r>
                                  </w:p>
                                  <w:p w:rsidR="001153C7" w:rsidRDefault="001153C7">
                                    <w:pPr>
                                      <w:pStyle w:val="boxtext"/>
                                      <w:spacing w:before="0" w:beforeAutospacing="0" w:after="0" w:afterAutospacing="0"/>
                                      <w:rPr>
                                        <w:rStyle w:val="boxtext1"/>
                                      </w:rPr>
                                    </w:pPr>
                                    <w:r>
                                      <w:rPr>
                                        <w:rStyle w:val="Strong"/>
                                        <w:rFonts w:ascii="Arial" w:eastAsiaTheme="minorEastAsia" w:hAnsi="Arial" w:cs="Arial"/>
                                        <w:color w:val="000000"/>
                                        <w:sz w:val="16"/>
                                        <w:szCs w:val="16"/>
                                      </w:rPr>
                                      <w:t>Andrew Siciliano</w:t>
                                    </w:r>
                                    <w:r>
                                      <w:rPr>
                                        <w:rFonts w:ascii="Arial" w:hAnsi="Arial" w:cs="Arial"/>
                                        <w:b/>
                                        <w:bCs/>
                                        <w:color w:val="000000"/>
                                        <w:sz w:val="16"/>
                                        <w:szCs w:val="16"/>
                                      </w:rPr>
                                      <w:br/>
                                    </w:r>
                                    <w:r>
                                      <w:rPr>
                                        <w:rStyle w:val="boxtext1"/>
                                        <w:rFonts w:ascii="Arial" w:hAnsi="Arial" w:cs="Arial"/>
                                        <w:color w:val="000000"/>
                                        <w:sz w:val="16"/>
                                        <w:szCs w:val="16"/>
                                      </w:rPr>
                                      <w:t>Partner, Trade &amp; Customs, KPMG LLP</w:t>
                                    </w:r>
                                  </w:p>
                                  <w:p w:rsidR="001153C7" w:rsidRDefault="001153C7">
                                    <w:pPr>
                                      <w:pStyle w:val="boxtext"/>
                                      <w:spacing w:before="0" w:beforeAutospacing="0" w:after="0" w:afterAutospacing="0"/>
                                    </w:pPr>
                                  </w:p>
                                  <w:p w:rsidR="001153C7" w:rsidRDefault="001153C7">
                                    <w:pPr>
                                      <w:pStyle w:val="boxtext"/>
                                      <w:spacing w:before="0" w:beforeAutospacing="0" w:after="150" w:afterAutospacing="0"/>
                                      <w:rPr>
                                        <w:rFonts w:ascii="Arial" w:hAnsi="Arial" w:cs="Arial"/>
                                        <w:color w:val="000000"/>
                                        <w:sz w:val="18"/>
                                        <w:szCs w:val="18"/>
                                      </w:rPr>
                                    </w:pPr>
                                    <w:r>
                                      <w:rPr>
                                        <w:rStyle w:val="Strong"/>
                                        <w:rFonts w:ascii="Arial" w:eastAsiaTheme="minorEastAsia" w:hAnsi="Arial" w:cs="Arial"/>
                                        <w:color w:val="000000"/>
                                        <w:sz w:val="18"/>
                                        <w:szCs w:val="18"/>
                                      </w:rPr>
                                      <w:t>Guest Speakers from CBP Office of Trade’s Regulatory Audit including:</w:t>
                                    </w:r>
                                  </w:p>
                                  <w:p w:rsidR="001153C7" w:rsidRDefault="001153C7">
                                    <w:pPr>
                                      <w:pStyle w:val="boxtext"/>
                                      <w:spacing w:before="0" w:beforeAutospacing="0" w:after="0" w:afterAutospacing="0"/>
                                      <w:rPr>
                                        <w:rFonts w:ascii="Arial" w:hAnsi="Arial" w:cs="Arial"/>
                                        <w:color w:val="000000"/>
                                        <w:sz w:val="16"/>
                                        <w:szCs w:val="16"/>
                                      </w:rPr>
                                    </w:pPr>
                                    <w:r>
                                      <w:rPr>
                                        <w:rStyle w:val="Strong"/>
                                        <w:rFonts w:ascii="Arial" w:eastAsiaTheme="minorEastAsia" w:hAnsi="Arial" w:cs="Arial"/>
                                        <w:color w:val="000000"/>
                                        <w:sz w:val="16"/>
                                        <w:szCs w:val="16"/>
                                      </w:rPr>
                                      <w:t>James T. Madden</w:t>
                                    </w:r>
                                    <w:r>
                                      <w:rPr>
                                        <w:rFonts w:ascii="Arial" w:hAnsi="Arial" w:cs="Arial"/>
                                        <w:b/>
                                        <w:bCs/>
                                        <w:color w:val="000000"/>
                                        <w:sz w:val="16"/>
                                        <w:szCs w:val="16"/>
                                      </w:rPr>
                                      <w:br/>
                                    </w:r>
                                    <w:r>
                                      <w:rPr>
                                        <w:rStyle w:val="boxtext1"/>
                                        <w:rFonts w:ascii="Arial" w:hAnsi="Arial" w:cs="Arial"/>
                                        <w:color w:val="000000"/>
                                        <w:sz w:val="16"/>
                                        <w:szCs w:val="16"/>
                                      </w:rPr>
                                      <w:t>CBP Office of Trade’s Regulatory Audit, Field Director, New York, NY</w:t>
                                    </w:r>
                                    <w:r>
                                      <w:rPr>
                                        <w:rStyle w:val="boxtext1"/>
                                        <w:rFonts w:ascii="Arial" w:hAnsi="Arial" w:cs="Arial"/>
                                        <w:color w:val="000000"/>
                                        <w:sz w:val="16"/>
                                        <w:szCs w:val="16"/>
                                      </w:rPr>
                                      <w:br/>
                                    </w:r>
                                    <w:r>
                                      <w:rPr>
                                        <w:rFonts w:ascii="Arial" w:eastAsiaTheme="minorEastAsia" w:hAnsi="Arial" w:cs="Arial"/>
                                        <w:b/>
                                        <w:bCs/>
                                        <w:color w:val="000000"/>
                                        <w:sz w:val="16"/>
                                        <w:szCs w:val="16"/>
                                      </w:rPr>
                                      <w:br/>
                                    </w:r>
                                    <w:r>
                                      <w:rPr>
                                        <w:rStyle w:val="Strong"/>
                                        <w:rFonts w:ascii="Arial" w:eastAsiaTheme="minorEastAsia" w:hAnsi="Arial" w:cs="Arial"/>
                                        <w:color w:val="000000"/>
                                        <w:sz w:val="16"/>
                                        <w:szCs w:val="16"/>
                                      </w:rPr>
                                      <w:t xml:space="preserve">Teresa </w:t>
                                    </w:r>
                                    <w:proofErr w:type="spellStart"/>
                                    <w:r>
                                      <w:rPr>
                                        <w:rStyle w:val="Strong"/>
                                        <w:rFonts w:ascii="Arial" w:eastAsiaTheme="minorEastAsia" w:hAnsi="Arial" w:cs="Arial"/>
                                        <w:color w:val="000000"/>
                                        <w:sz w:val="16"/>
                                        <w:szCs w:val="16"/>
                                      </w:rPr>
                                      <w:t>Halpin</w:t>
                                    </w:r>
                                    <w:proofErr w:type="spellEnd"/>
                                    <w:r>
                                      <w:rPr>
                                        <w:rStyle w:val="apple-converted-space"/>
                                        <w:rFonts w:ascii="Arial" w:hAnsi="Arial" w:cs="Arial"/>
                                        <w:b/>
                                        <w:bCs/>
                                        <w:color w:val="000000"/>
                                        <w:sz w:val="16"/>
                                        <w:szCs w:val="16"/>
                                      </w:rPr>
                                      <w:t> </w:t>
                                    </w:r>
                                    <w:r>
                                      <w:rPr>
                                        <w:rFonts w:ascii="Arial" w:hAnsi="Arial" w:cs="Arial"/>
                                        <w:b/>
                                        <w:bCs/>
                                        <w:color w:val="000000"/>
                                        <w:sz w:val="16"/>
                                        <w:szCs w:val="16"/>
                                      </w:rPr>
                                      <w:br/>
                                    </w:r>
                                    <w:r>
                                      <w:rPr>
                                        <w:rStyle w:val="boxtext1"/>
                                        <w:rFonts w:ascii="Arial" w:hAnsi="Arial" w:cs="Arial"/>
                                        <w:color w:val="000000"/>
                                        <w:sz w:val="16"/>
                                        <w:szCs w:val="16"/>
                                      </w:rPr>
                                      <w:t>CBP Office of Trade’s Regulatory Audit, Assistant Field Director, New York, NY</w:t>
                                    </w:r>
                                    <w:r>
                                      <w:rPr>
                                        <w:rStyle w:val="boxtext1"/>
                                        <w:rFonts w:ascii="Arial" w:hAnsi="Arial" w:cs="Arial"/>
                                        <w:color w:val="000000"/>
                                        <w:sz w:val="16"/>
                                        <w:szCs w:val="16"/>
                                      </w:rPr>
                                      <w:br/>
                                    </w:r>
                                  </w:p>
                                  <w:p w:rsidR="001153C7" w:rsidRDefault="001153C7">
                                    <w:pPr>
                                      <w:pStyle w:val="boxtext"/>
                                      <w:spacing w:before="0" w:beforeAutospacing="0" w:after="0" w:afterAutospacing="0"/>
                                      <w:rPr>
                                        <w:rFonts w:ascii="Arial" w:hAnsi="Arial" w:cs="Arial"/>
                                        <w:color w:val="000000"/>
                                        <w:sz w:val="16"/>
                                        <w:szCs w:val="16"/>
                                      </w:rPr>
                                    </w:pPr>
                                    <w:r>
                                      <w:rPr>
                                        <w:rStyle w:val="Strong"/>
                                        <w:rFonts w:ascii="Arial" w:eastAsiaTheme="minorEastAsia" w:hAnsi="Arial" w:cs="Arial"/>
                                        <w:color w:val="000000"/>
                                        <w:sz w:val="16"/>
                                        <w:szCs w:val="16"/>
                                      </w:rPr>
                                      <w:t>Joan Colby</w:t>
                                    </w:r>
                                    <w:r>
                                      <w:rPr>
                                        <w:rFonts w:ascii="Arial" w:hAnsi="Arial" w:cs="Arial"/>
                                        <w:b/>
                                        <w:bCs/>
                                        <w:color w:val="000000"/>
                                        <w:sz w:val="16"/>
                                        <w:szCs w:val="16"/>
                                      </w:rPr>
                                      <w:br/>
                                    </w:r>
                                    <w:r>
                                      <w:rPr>
                                        <w:rStyle w:val="boxtext1"/>
                                        <w:rFonts w:ascii="Arial" w:hAnsi="Arial" w:cs="Arial"/>
                                        <w:color w:val="000000"/>
                                        <w:sz w:val="16"/>
                                        <w:szCs w:val="16"/>
                                      </w:rPr>
                                      <w:t>CBP Office of Trade’s Regulatory Audit, Assistant Field Director, New York, NY</w:t>
                                    </w:r>
                                  </w:p>
                                </w:tc>
                              </w:tr>
                            </w:tbl>
                            <w:p w:rsidR="001153C7" w:rsidRDefault="001153C7">
                              <w:pPr>
                                <w:rPr>
                                  <w:rFonts w:eastAsia="Times New Roman"/>
                                  <w:sz w:val="20"/>
                                  <w:szCs w:val="20"/>
                                </w:rPr>
                              </w:pPr>
                            </w:p>
                          </w:tc>
                        </w:tr>
                        <w:tr w:rsidR="001153C7">
                          <w:trPr>
                            <w:trHeight w:val="450"/>
                            <w:tblCellSpacing w:w="0" w:type="dxa"/>
                          </w:trPr>
                          <w:tc>
                            <w:tcPr>
                              <w:tcW w:w="6000" w:type="dxa"/>
                              <w:shd w:val="clear" w:color="auto" w:fill="FFFFFF"/>
                              <w:vAlign w:val="center"/>
                            </w:tcPr>
                            <w:p w:rsidR="001153C7" w:rsidRDefault="001153C7">
                              <w:pPr>
                                <w:pStyle w:val="NormalWeb"/>
                                <w:spacing w:before="0" w:beforeAutospacing="0" w:after="0" w:afterAutospacing="0"/>
                                <w:rPr>
                                  <w:rFonts w:ascii="Arial" w:hAnsi="Arial" w:cs="Arial"/>
                                  <w:color w:val="000000"/>
                                  <w:sz w:val="19"/>
                                  <w:szCs w:val="19"/>
                                </w:rPr>
                              </w:pPr>
                            </w:p>
                          </w:tc>
                        </w:tr>
                      </w:tbl>
                      <w:p w:rsidR="001153C7" w:rsidRDefault="001153C7">
                        <w:pPr>
                          <w:rPr>
                            <w:rFonts w:eastAsia="Times New Roman"/>
                            <w:sz w:val="20"/>
                            <w:szCs w:val="20"/>
                          </w:rPr>
                        </w:pPr>
                      </w:p>
                    </w:tc>
                    <w:tc>
                      <w:tcPr>
                        <w:tcW w:w="1575" w:type="dxa"/>
                        <w:hideMark/>
                      </w:tcPr>
                      <w:p w:rsidR="001153C7" w:rsidRDefault="001153C7">
                        <w:pPr>
                          <w:rPr>
                            <w:rFonts w:ascii="Arial" w:hAnsi="Arial" w:cs="Arial"/>
                            <w:sz w:val="18"/>
                            <w:szCs w:val="18"/>
                          </w:rPr>
                        </w:pPr>
                        <w:r>
                          <w:rPr>
                            <w:rFonts w:ascii="Arial" w:hAnsi="Arial" w:cs="Arial"/>
                            <w:sz w:val="18"/>
                            <w:szCs w:val="18"/>
                          </w:rPr>
                          <w:lastRenderedPageBreak/>
                          <w:t> </w:t>
                        </w:r>
                      </w:p>
                    </w:tc>
                  </w:tr>
                </w:tbl>
                <w:p w:rsidR="001153C7" w:rsidRDefault="001153C7">
                  <w:pPr>
                    <w:rPr>
                      <w:rFonts w:eastAsia="Times New Roman"/>
                      <w:sz w:val="20"/>
                      <w:szCs w:val="20"/>
                    </w:rPr>
                  </w:pPr>
                </w:p>
              </w:tc>
            </w:tr>
            <w:tr w:rsidR="001153C7">
              <w:trPr>
                <w:tblCellSpacing w:w="0" w:type="dxa"/>
              </w:trPr>
              <w:tc>
                <w:tcPr>
                  <w:tcW w:w="8115"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8115"/>
                  </w:tblGrid>
                  <w:tr w:rsidR="001153C7">
                    <w:trPr>
                      <w:trHeight w:val="102"/>
                      <w:tblCellSpacing w:w="0" w:type="dxa"/>
                    </w:trPr>
                    <w:tc>
                      <w:tcPr>
                        <w:tcW w:w="8130" w:type="dxa"/>
                        <w:shd w:val="clear" w:color="auto" w:fill="FFFFFF"/>
                        <w:vAlign w:val="center"/>
                        <w:hideMark/>
                      </w:tcPr>
                      <w:p w:rsidR="001153C7" w:rsidRDefault="00432B71" w:rsidP="001153C7">
                        <w:pPr>
                          <w:rPr>
                            <w:rFonts w:ascii="Arial" w:hAnsi="Arial" w:cs="Arial"/>
                            <w:sz w:val="18"/>
                            <w:szCs w:val="18"/>
                          </w:rPr>
                        </w:pPr>
                        <w:r>
                          <w:rPr>
                            <w:rFonts w:ascii="Arial" w:hAnsi="Arial" w:cs="Arial"/>
                            <w:sz w:val="18"/>
                            <w:szCs w:val="18"/>
                          </w:rPr>
                          <w:lastRenderedPageBreak/>
                          <w:pict>
                            <v:rect id="_x0000_i1025" style="width:444.6pt;height:1.5pt" o:hrpct="950" o:hrstd="t" o:hr="t" fillcolor="#a0a0a0" stroked="f"/>
                          </w:pict>
                        </w:r>
                      </w:p>
                    </w:tc>
                  </w:tr>
                </w:tbl>
                <w:p w:rsidR="001153C7" w:rsidRDefault="001153C7">
                  <w:pPr>
                    <w:rPr>
                      <w:rFonts w:eastAsia="Times New Roman"/>
                      <w:sz w:val="20"/>
                      <w:szCs w:val="20"/>
                    </w:rPr>
                  </w:pPr>
                </w:p>
              </w:tc>
            </w:tr>
            <w:tr w:rsidR="001153C7">
              <w:trPr>
                <w:tblCellSpacing w:w="0" w:type="dxa"/>
              </w:trPr>
              <w:tc>
                <w:tcPr>
                  <w:tcW w:w="8115" w:type="dxa"/>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865"/>
                    <w:gridCol w:w="2250"/>
                  </w:tblGrid>
                  <w:tr w:rsidR="001153C7">
                    <w:trPr>
                      <w:tblCellSpacing w:w="0" w:type="dxa"/>
                    </w:trPr>
                    <w:tc>
                      <w:tcPr>
                        <w:tcW w:w="6000" w:type="dxa"/>
                        <w:hideMark/>
                      </w:tcPr>
                      <w:tbl>
                        <w:tblPr>
                          <w:tblpPr w:leftFromText="45" w:rightFromText="45" w:bottomFromText="37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5865"/>
                        </w:tblGrid>
                        <w:tr w:rsidR="001153C7">
                          <w:trPr>
                            <w:trHeight w:val="375"/>
                            <w:tblCellSpacing w:w="0" w:type="dxa"/>
                          </w:trPr>
                          <w:tc>
                            <w:tcPr>
                              <w:tcW w:w="6150" w:type="dxa"/>
                              <w:shd w:val="clear" w:color="auto" w:fill="FFFFFF"/>
                              <w:vAlign w:val="center"/>
                              <w:hideMark/>
                            </w:tcPr>
                            <w:p w:rsidR="001153C7" w:rsidRDefault="001153C7">
                              <w:pPr>
                                <w:pStyle w:val="disclaimer"/>
                                <w:spacing w:line="160" w:lineRule="atLeast"/>
                                <w:ind w:right="300"/>
                                <w:rPr>
                                  <w:color w:val="7B7B7B"/>
                                  <w:sz w:val="15"/>
                                  <w:szCs w:val="15"/>
                                </w:rPr>
                              </w:pPr>
                              <w:r>
                                <w:rPr>
                                  <w:color w:val="7B7B7B"/>
                                  <w:sz w:val="15"/>
                                  <w:szCs w:val="15"/>
                                </w:rPr>
                                <w:t>KPMG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addressed to the National Registry of CPE Sponsors, 150 Fourth Avenue North, Suite 700, Nashville,</w:t>
                              </w:r>
                              <w:r>
                                <w:rPr>
                                  <w:rStyle w:val="apple-converted-space"/>
                                  <w:color w:val="7B7B7B"/>
                                  <w:sz w:val="15"/>
                                  <w:szCs w:val="15"/>
                                </w:rPr>
                                <w:t> </w:t>
                              </w:r>
                              <w:r>
                                <w:rPr>
                                  <w:color w:val="7B7B7B"/>
                                  <w:sz w:val="15"/>
                                  <w:szCs w:val="15"/>
                                </w:rPr>
                                <w:t>TN 37219-2417. Web site:</w:t>
                              </w:r>
                              <w:r>
                                <w:rPr>
                                  <w:rStyle w:val="apple-converted-space"/>
                                  <w:color w:val="7B7B7B"/>
                                  <w:sz w:val="15"/>
                                  <w:szCs w:val="15"/>
                                </w:rPr>
                                <w:t> </w:t>
                              </w:r>
                              <w:hyperlink r:id="rId8" w:tgtFrame="_blank" w:history="1">
                                <w:r>
                                  <w:rPr>
                                    <w:rStyle w:val="Hyperlink"/>
                                    <w:color w:val="7B7B7B"/>
                                    <w:sz w:val="15"/>
                                    <w:szCs w:val="15"/>
                                  </w:rPr>
                                  <w:t>www.nasba.org</w:t>
                                </w:r>
                              </w:hyperlink>
                              <w:r>
                                <w:rPr>
                                  <w:color w:val="7B7B7B"/>
                                  <w:sz w:val="15"/>
                                  <w:szCs w:val="15"/>
                                </w:rPr>
                                <w:t>.</w:t>
                              </w:r>
                              <w:r>
                                <w:rPr>
                                  <w:color w:val="7B7B7B"/>
                                  <w:sz w:val="15"/>
                                  <w:szCs w:val="15"/>
                                </w:rPr>
                                <w:br/>
                              </w:r>
                              <w:r>
                                <w:rPr>
                                  <w:color w:val="7B7B7B"/>
                                  <w:sz w:val="15"/>
                                  <w:szCs w:val="15"/>
                                </w:rPr>
                                <w:br/>
                                <w:t>KPMG provides reasonable accommodations to employees who request such accommodations to participate in training. Individuals requesting such an accommodation(s) should contact their local HR professional at least two weeks prior to the start date of the program.</w:t>
                              </w:r>
                              <w:r>
                                <w:rPr>
                                  <w:color w:val="7B7B7B"/>
                                  <w:sz w:val="15"/>
                                  <w:szCs w:val="15"/>
                                </w:rPr>
                                <w:br/>
                              </w:r>
                              <w:r>
                                <w:rPr>
                                  <w:color w:val="7B7B7B"/>
                                  <w:sz w:val="15"/>
                                  <w:szCs w:val="15"/>
                                </w:rPr>
                                <w:br/>
                              </w:r>
                              <w:hyperlink r:id="rId9" w:tgtFrame="_blank" w:history="1">
                                <w:r>
                                  <w:rPr>
                                    <w:rStyle w:val="Hyperlink"/>
                                    <w:color w:val="767171" w:themeColor="background2" w:themeShade="80"/>
                                    <w:sz w:val="15"/>
                                    <w:szCs w:val="15"/>
                                  </w:rPr>
                                  <w:t>Privacy</w:t>
                                </w:r>
                              </w:hyperlink>
                              <w:r>
                                <w:rPr>
                                  <w:rStyle w:val="apple-converted-space"/>
                                  <w:color w:val="7B7B7B"/>
                                  <w:sz w:val="15"/>
                                  <w:szCs w:val="15"/>
                                </w:rPr>
                                <w:t> </w:t>
                              </w:r>
                              <w:r>
                                <w:rPr>
                                  <w:color w:val="7B7B7B"/>
                                  <w:sz w:val="15"/>
                                  <w:szCs w:val="15"/>
                                </w:rPr>
                                <w:t>|</w:t>
                              </w:r>
                              <w:r>
                                <w:rPr>
                                  <w:rStyle w:val="apple-converted-space"/>
                                  <w:color w:val="7B7B7B"/>
                                  <w:sz w:val="15"/>
                                  <w:szCs w:val="15"/>
                                </w:rPr>
                                <w:t> </w:t>
                              </w:r>
                              <w:hyperlink r:id="rId10" w:tgtFrame="_blank" w:history="1">
                                <w:r>
                                  <w:rPr>
                                    <w:rStyle w:val="Hyperlink"/>
                                    <w:color w:val="767171" w:themeColor="background2" w:themeShade="80"/>
                                    <w:sz w:val="15"/>
                                    <w:szCs w:val="15"/>
                                  </w:rPr>
                                  <w:t>Legal</w:t>
                                </w:r>
                              </w:hyperlink>
                              <w:r>
                                <w:rPr>
                                  <w:color w:val="7B7B7B"/>
                                  <w:sz w:val="15"/>
                                  <w:szCs w:val="15"/>
                                </w:rPr>
                                <w:br/>
                              </w:r>
                              <w:r>
                                <w:rPr>
                                  <w:color w:val="7B7B7B"/>
                                  <w:sz w:val="15"/>
                                  <w:szCs w:val="15"/>
                                </w:rPr>
                                <w:br/>
                                <w:t>You have received this message from KPMG LLP. If you wish to unsubscribe from TaxWatch webcast, please</w:t>
                              </w:r>
                              <w:r>
                                <w:rPr>
                                  <w:rStyle w:val="apple-converted-space"/>
                                  <w:color w:val="7B7B7B"/>
                                  <w:sz w:val="15"/>
                                  <w:szCs w:val="15"/>
                                </w:rPr>
                                <w:t> </w:t>
                              </w:r>
                              <w:hyperlink r:id="rId11" w:tgtFrame="_blank" w:history="1">
                                <w:r>
                                  <w:rPr>
                                    <w:rStyle w:val="Hyperlink"/>
                                    <w:color w:val="747678"/>
                                    <w:sz w:val="15"/>
                                    <w:szCs w:val="15"/>
                                    <w:shd w:val="clear" w:color="auto" w:fill="FFFFFF"/>
                                  </w:rPr>
                                  <w:t>click here</w:t>
                                </w:r>
                              </w:hyperlink>
                              <w:r>
                                <w:rPr>
                                  <w:color w:val="767171" w:themeColor="background2" w:themeShade="80"/>
                                  <w:sz w:val="15"/>
                                  <w:szCs w:val="15"/>
                                </w:rPr>
                                <w:t xml:space="preserve">. </w:t>
                              </w:r>
                              <w:r>
                                <w:rPr>
                                  <w:color w:val="7B7B7B"/>
                                  <w:sz w:val="15"/>
                                  <w:szCs w:val="15"/>
                                </w:rPr>
                                <w:t>If you wish to unsubscribe from all KPMG communications, please</w:t>
                              </w:r>
                              <w:r>
                                <w:rPr>
                                  <w:rStyle w:val="apple-converted-space"/>
                                  <w:color w:val="7B7B7B"/>
                                  <w:sz w:val="15"/>
                                  <w:szCs w:val="15"/>
                                </w:rPr>
                                <w:t> </w:t>
                              </w:r>
                              <w:hyperlink r:id="rId12" w:tgtFrame="_blank" w:history="1">
                                <w:r>
                                  <w:rPr>
                                    <w:rStyle w:val="Hyperlink"/>
                                    <w:color w:val="747678"/>
                                    <w:sz w:val="15"/>
                                    <w:szCs w:val="15"/>
                                    <w:shd w:val="clear" w:color="auto" w:fill="FFFFFF"/>
                                  </w:rPr>
                                  <w:t>click here</w:t>
                                </w:r>
                              </w:hyperlink>
                              <w:r>
                                <w:rPr>
                                  <w:color w:val="7B7B7B"/>
                                  <w:sz w:val="15"/>
                                  <w:szCs w:val="15"/>
                                  <w:shd w:val="clear" w:color="auto" w:fill="FFFFFF"/>
                                </w:rPr>
                                <w:t>.</w:t>
                              </w:r>
                              <w:r>
                                <w:rPr>
                                  <w:color w:val="7B7B7B"/>
                                  <w:sz w:val="15"/>
                                  <w:szCs w:val="15"/>
                                </w:rPr>
                                <w:br/>
                              </w:r>
                              <w:r>
                                <w:rPr>
                                  <w:color w:val="7B7B7B"/>
                                  <w:sz w:val="15"/>
                                  <w:szCs w:val="15"/>
                                </w:rPr>
                                <w:br/>
                                <w:t>KPMG LLP, 3 Chestnut Ridge Road Montvale, NJ 07645</w:t>
                              </w:r>
                              <w:r>
                                <w:rPr>
                                  <w:color w:val="7B7B7B"/>
                                  <w:sz w:val="15"/>
                                  <w:szCs w:val="15"/>
                                </w:rPr>
                                <w:br/>
                              </w:r>
                              <w:r>
                                <w:rPr>
                                  <w:color w:val="7B7B7B"/>
                                  <w:sz w:val="15"/>
                                  <w:szCs w:val="15"/>
                                </w:rPr>
                                <w:br/>
                                <w:t>© 2016 KPMG LLP, a Delaware limited liability partnership and the U.S. member firm of the KPMG network of independent member firms affiliated with KPMG International Cooperative (“KPMG International”), a Swiss entity. All rights reserved.</w:t>
                              </w:r>
                              <w:r>
                                <w:rPr>
                                  <w:rStyle w:val="apple-converted-space"/>
                                  <w:color w:val="7B7B7B"/>
                                  <w:sz w:val="15"/>
                                  <w:szCs w:val="15"/>
                                </w:rPr>
                                <w:t> </w:t>
                              </w:r>
                              <w:r>
                                <w:rPr>
                                  <w:color w:val="7B7B7B"/>
                                  <w:sz w:val="15"/>
                                  <w:szCs w:val="15"/>
                                </w:rPr>
                                <w:br/>
                              </w:r>
                              <w:r>
                                <w:rPr>
                                  <w:color w:val="7B7B7B"/>
                                  <w:sz w:val="15"/>
                                  <w:szCs w:val="15"/>
                                </w:rPr>
                                <w:br/>
                                <w:t>The KPMG name and logo are registered trademarks or trademarks of KPMG International.</w:t>
                              </w:r>
                            </w:p>
                          </w:tc>
                        </w:tr>
                      </w:tbl>
                      <w:p w:rsidR="001153C7" w:rsidRDefault="001153C7">
                        <w:pPr>
                          <w:rPr>
                            <w:rFonts w:eastAsia="Times New Roman"/>
                            <w:sz w:val="20"/>
                            <w:szCs w:val="20"/>
                          </w:rPr>
                        </w:pPr>
                      </w:p>
                    </w:tc>
                    <w:tc>
                      <w:tcPr>
                        <w:tcW w:w="1575" w:type="dxa"/>
                        <w:hideMark/>
                      </w:tcPr>
                      <w:tbl>
                        <w:tblPr>
                          <w:tblpPr w:leftFromText="45" w:rightFromText="45" w:vertAnchor="text"/>
                          <w:tblW w:w="4600" w:type="pct"/>
                          <w:tblCellSpacing w:w="0" w:type="dxa"/>
                          <w:tblCellMar>
                            <w:left w:w="0" w:type="dxa"/>
                            <w:right w:w="0" w:type="dxa"/>
                          </w:tblCellMar>
                          <w:tblLook w:val="04A0" w:firstRow="1" w:lastRow="0" w:firstColumn="1" w:lastColumn="0" w:noHBand="0" w:noVBand="1"/>
                        </w:tblPr>
                        <w:tblGrid>
                          <w:gridCol w:w="2250"/>
                        </w:tblGrid>
                        <w:tr w:rsidR="001153C7">
                          <w:trPr>
                            <w:tblCellSpacing w:w="0" w:type="dxa"/>
                          </w:trPr>
                          <w:tc>
                            <w:tcPr>
                              <w:tcW w:w="1950" w:type="dxa"/>
                              <w:hideMark/>
                            </w:tcPr>
                            <w:tbl>
                              <w:tblPr>
                                <w:tblW w:w="1950" w:type="dxa"/>
                                <w:tblCellSpacing w:w="0" w:type="dxa"/>
                                <w:tblInd w:w="300" w:type="dxa"/>
                                <w:tblCellMar>
                                  <w:left w:w="0" w:type="dxa"/>
                                  <w:right w:w="0" w:type="dxa"/>
                                </w:tblCellMar>
                                <w:tblLook w:val="04A0" w:firstRow="1" w:lastRow="0" w:firstColumn="1" w:lastColumn="0" w:noHBand="0" w:noVBand="1"/>
                              </w:tblPr>
                              <w:tblGrid>
                                <w:gridCol w:w="1950"/>
                              </w:tblGrid>
                              <w:tr w:rsidR="001153C7">
                                <w:trPr>
                                  <w:tblCellSpacing w:w="0" w:type="dxa"/>
                                </w:trPr>
                                <w:tc>
                                  <w:tcPr>
                                    <w:tcW w:w="0" w:type="auto"/>
                                    <w:tcMar>
                                      <w:top w:w="60" w:type="dxa"/>
                                      <w:left w:w="0" w:type="dxa"/>
                                      <w:bottom w:w="0" w:type="dxa"/>
                                      <w:right w:w="0" w:type="dxa"/>
                                    </w:tcMar>
                                    <w:vAlign w:val="center"/>
                                    <w:hideMark/>
                                  </w:tcPr>
                                  <w:p w:rsidR="001153C7" w:rsidRDefault="00432B71">
                                    <w:pPr>
                                      <w:pStyle w:val="social-media-link"/>
                                      <w:spacing w:before="0" w:beforeAutospacing="0" w:after="75" w:afterAutospacing="0" w:line="160" w:lineRule="atLeast"/>
                                      <w:rPr>
                                        <w:rFonts w:ascii="Arial" w:hAnsi="Arial" w:cs="Arial"/>
                                        <w:color w:val="369AE8"/>
                                        <w:sz w:val="15"/>
                                        <w:szCs w:val="15"/>
                                      </w:rPr>
                                    </w:pPr>
                                    <w:hyperlink r:id="rId13" w:tgtFrame="_blank" w:history="1">
                                      <w:r w:rsidR="001153C7">
                                        <w:rPr>
                                          <w:rStyle w:val="Hyperlink"/>
                                          <w:rFonts w:eastAsiaTheme="minorEastAsia"/>
                                          <w:sz w:val="15"/>
                                          <w:szCs w:val="15"/>
                                        </w:rPr>
                                        <w:t>kpmg.com/</w:t>
                                      </w:r>
                                      <w:proofErr w:type="spellStart"/>
                                      <w:r w:rsidR="001153C7">
                                        <w:rPr>
                                          <w:rStyle w:val="Hyperlink"/>
                                          <w:rFonts w:eastAsiaTheme="minorEastAsia"/>
                                          <w:sz w:val="15"/>
                                          <w:szCs w:val="15"/>
                                        </w:rPr>
                                        <w:t>socialmedia</w:t>
                                      </w:r>
                                      <w:proofErr w:type="spellEnd"/>
                                    </w:hyperlink>
                                  </w:p>
                                </w:tc>
                              </w:tr>
                              <w:tr w:rsidR="001153C7">
                                <w:trPr>
                                  <w:tblCellSpacing w:w="0" w:type="dxa"/>
                                </w:trPr>
                                <w:tc>
                                  <w:tcPr>
                                    <w:tcW w:w="0" w:type="auto"/>
                                    <w:vAlign w:val="center"/>
                                    <w:hideMark/>
                                  </w:tcPr>
                                  <w:tbl>
                                    <w:tblPr>
                                      <w:tblW w:w="1545" w:type="dxa"/>
                                      <w:tblCellSpacing w:w="0" w:type="dxa"/>
                                      <w:tblCellMar>
                                        <w:left w:w="0" w:type="dxa"/>
                                        <w:right w:w="0" w:type="dxa"/>
                                      </w:tblCellMar>
                                      <w:tblLook w:val="04A0" w:firstRow="1" w:lastRow="0" w:firstColumn="1" w:lastColumn="0" w:noHBand="0" w:noVBand="1"/>
                                    </w:tblPr>
                                    <w:tblGrid>
                                      <w:gridCol w:w="515"/>
                                      <w:gridCol w:w="515"/>
                                      <w:gridCol w:w="515"/>
                                    </w:tblGrid>
                                    <w:tr w:rsidR="001153C7">
                                      <w:trPr>
                                        <w:tblCellSpacing w:w="0" w:type="dxa"/>
                                      </w:trPr>
                                      <w:tc>
                                        <w:tcPr>
                                          <w:tcW w:w="0" w:type="auto"/>
                                          <w:vAlign w:val="center"/>
                                          <w:hideMark/>
                                        </w:tcPr>
                                        <w:p w:rsidR="001153C7" w:rsidRDefault="001153C7">
                                          <w:pPr>
                                            <w:spacing w:after="75"/>
                                            <w:rPr>
                                              <w:rFonts w:ascii="Arial" w:hAnsi="Arial" w:cs="Arial"/>
                                              <w:sz w:val="18"/>
                                              <w:szCs w:val="18"/>
                                            </w:rPr>
                                          </w:pPr>
                                          <w:r>
                                            <w:rPr>
                                              <w:rFonts w:ascii="Arial" w:hAnsi="Arial" w:cs="Arial"/>
                                              <w:noProof/>
                                              <w:color w:val="0563C1"/>
                                              <w:sz w:val="18"/>
                                              <w:szCs w:val="18"/>
                                            </w:rPr>
                                            <w:drawing>
                                              <wp:inline distT="0" distB="0" distL="0" distR="0">
                                                <wp:extent cx="270510" cy="270510"/>
                                                <wp:effectExtent l="0" t="0" r="0" b="0"/>
                                                <wp:docPr id="5" name="Picture 5"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witter">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0" w:type="auto"/>
                                          <w:vAlign w:val="center"/>
                                          <w:hideMark/>
                                        </w:tcPr>
                                        <w:p w:rsidR="001153C7" w:rsidRDefault="001153C7">
                                          <w:pPr>
                                            <w:spacing w:after="75"/>
                                            <w:rPr>
                                              <w:rFonts w:ascii="Arial" w:hAnsi="Arial" w:cs="Arial"/>
                                              <w:sz w:val="18"/>
                                              <w:szCs w:val="18"/>
                                            </w:rPr>
                                          </w:pPr>
                                          <w:r>
                                            <w:rPr>
                                              <w:rFonts w:ascii="Arial" w:hAnsi="Arial" w:cs="Arial"/>
                                              <w:noProof/>
                                              <w:color w:val="0563C1"/>
                                              <w:sz w:val="18"/>
                                              <w:szCs w:val="18"/>
                                            </w:rPr>
                                            <w:drawing>
                                              <wp:inline distT="0" distB="0" distL="0" distR="0">
                                                <wp:extent cx="270510" cy="270510"/>
                                                <wp:effectExtent l="0" t="0" r="0" b="0"/>
                                                <wp:docPr id="4" name="Picture 4" descr="Linkedin">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kedin">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0" w:type="auto"/>
                                          <w:vAlign w:val="center"/>
                                          <w:hideMark/>
                                        </w:tcPr>
                                        <w:p w:rsidR="001153C7" w:rsidRDefault="001153C7">
                                          <w:pPr>
                                            <w:spacing w:after="75"/>
                                            <w:rPr>
                                              <w:rFonts w:ascii="Arial" w:hAnsi="Arial" w:cs="Arial"/>
                                              <w:sz w:val="18"/>
                                              <w:szCs w:val="18"/>
                                            </w:rPr>
                                          </w:pPr>
                                          <w:r>
                                            <w:rPr>
                                              <w:rFonts w:ascii="Arial" w:hAnsi="Arial" w:cs="Arial"/>
                                              <w:noProof/>
                                              <w:color w:val="0563C1"/>
                                              <w:sz w:val="18"/>
                                              <w:szCs w:val="18"/>
                                            </w:rPr>
                                            <w:drawing>
                                              <wp:inline distT="0" distB="0" distL="0" distR="0">
                                                <wp:extent cx="270510" cy="270510"/>
                                                <wp:effectExtent l="0" t="0" r="0" b="0"/>
                                                <wp:docPr id="3" name="Picture 3"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r>
                                  </w:tbl>
                                  <w:p w:rsidR="001153C7" w:rsidRDefault="001153C7">
                                    <w:pPr>
                                      <w:rPr>
                                        <w:rFonts w:eastAsia="Times New Roman"/>
                                        <w:sz w:val="20"/>
                                        <w:szCs w:val="20"/>
                                      </w:rPr>
                                    </w:pPr>
                                  </w:p>
                                </w:tc>
                              </w:tr>
                              <w:tr w:rsidR="001153C7">
                                <w:trPr>
                                  <w:tblCellSpacing w:w="0" w:type="dxa"/>
                                </w:trPr>
                                <w:tc>
                                  <w:tcPr>
                                    <w:tcW w:w="0" w:type="auto"/>
                                    <w:vAlign w:val="center"/>
                                    <w:hideMark/>
                                  </w:tcPr>
                                  <w:tbl>
                                    <w:tblPr>
                                      <w:tblW w:w="1545" w:type="dxa"/>
                                      <w:tblCellSpacing w:w="0" w:type="dxa"/>
                                      <w:tblCellMar>
                                        <w:left w:w="0" w:type="dxa"/>
                                        <w:right w:w="0" w:type="dxa"/>
                                      </w:tblCellMar>
                                      <w:tblLook w:val="04A0" w:firstRow="1" w:lastRow="0" w:firstColumn="1" w:lastColumn="0" w:noHBand="0" w:noVBand="1"/>
                                    </w:tblPr>
                                    <w:tblGrid>
                                      <w:gridCol w:w="518"/>
                                      <w:gridCol w:w="510"/>
                                      <w:gridCol w:w="517"/>
                                    </w:tblGrid>
                                    <w:tr w:rsidR="001153C7">
                                      <w:trPr>
                                        <w:tblCellSpacing w:w="0" w:type="dxa"/>
                                      </w:trPr>
                                      <w:tc>
                                        <w:tcPr>
                                          <w:tcW w:w="0" w:type="auto"/>
                                          <w:vAlign w:val="center"/>
                                          <w:hideMark/>
                                        </w:tcPr>
                                        <w:p w:rsidR="001153C7" w:rsidRDefault="001153C7">
                                          <w:pPr>
                                            <w:rPr>
                                              <w:rFonts w:ascii="Arial" w:hAnsi="Arial" w:cs="Arial"/>
                                              <w:sz w:val="18"/>
                                              <w:szCs w:val="18"/>
                                            </w:rPr>
                                          </w:pPr>
                                          <w:r>
                                            <w:rPr>
                                              <w:rFonts w:ascii="Arial" w:hAnsi="Arial" w:cs="Arial"/>
                                              <w:noProof/>
                                              <w:color w:val="0563C1"/>
                                              <w:sz w:val="18"/>
                                              <w:szCs w:val="18"/>
                                            </w:rPr>
                                            <w:drawing>
                                              <wp:inline distT="0" distB="0" distL="0" distR="0">
                                                <wp:extent cx="270510" cy="270510"/>
                                                <wp:effectExtent l="0" t="0" r="0" b="0"/>
                                                <wp:docPr id="2" name="Picture 2" descr="Youtube">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outube">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0" w:type="auto"/>
                                          <w:vAlign w:val="center"/>
                                          <w:hideMark/>
                                        </w:tcPr>
                                        <w:p w:rsidR="001153C7" w:rsidRDefault="001153C7">
                                          <w:pPr>
                                            <w:rPr>
                                              <w:rFonts w:ascii="Arial" w:hAnsi="Arial" w:cs="Arial"/>
                                              <w:sz w:val="18"/>
                                              <w:szCs w:val="18"/>
                                            </w:rPr>
                                          </w:pPr>
                                          <w:r>
                                            <w:rPr>
                                              <w:noProof/>
                                            </w:rPr>
                                            <mc:AlternateContent>
                                              <mc:Choice Requires="wps">
                                                <w:drawing>
                                                  <wp:inline distT="0" distB="0" distL="0" distR="0">
                                                    <wp:extent cx="266700" cy="266700"/>
                                                    <wp:effectExtent l="0" t="0" r="0" b="0"/>
                                                    <wp:docPr id="9" name="Rectangle 9" descr="Googl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94792D" id="Rectangle 9" o:spid="_x0000_s1026" alt="Google+" href="http://plus.google.com/+KPMGUSA" target="&quot;_blank&quot;"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" o:button="t" filled="f" stroked="f">
                                                    <v:fill o:detectmouseclick="t"/>
                                                    <o:lock v:ext="edit" aspectratio="t"/>
                                                    <w10:anchorlock/>
                                                  </v:rect>
                                                </w:pict>
                                              </mc:Fallback>
                                            </mc:AlternateContent>
                                          </w:r>
                                        </w:p>
                                      </w:tc>
                                      <w:tc>
                                        <w:tcPr>
                                          <w:tcW w:w="0" w:type="auto"/>
                                          <w:vAlign w:val="center"/>
                                          <w:hideMark/>
                                        </w:tcPr>
                                        <w:p w:rsidR="001153C7" w:rsidRDefault="001153C7">
                                          <w:pPr>
                                            <w:rPr>
                                              <w:rFonts w:ascii="Arial" w:hAnsi="Arial" w:cs="Arial"/>
                                              <w:sz w:val="18"/>
                                              <w:szCs w:val="18"/>
                                            </w:rPr>
                                          </w:pPr>
                                          <w:r>
                                            <w:rPr>
                                              <w:rFonts w:ascii="Arial" w:hAnsi="Arial" w:cs="Arial"/>
                                              <w:noProof/>
                                              <w:color w:val="0563C1"/>
                                              <w:sz w:val="18"/>
                                              <w:szCs w:val="18"/>
                                            </w:rPr>
                                            <w:drawing>
                                              <wp:inline distT="0" distB="0" distL="0" distR="0">
                                                <wp:extent cx="270510" cy="270510"/>
                                                <wp:effectExtent l="0" t="0" r="0" b="0"/>
                                                <wp:docPr id="1" name="Picture 1" descr="Instagram">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r>
                                  </w:tbl>
                                  <w:p w:rsidR="001153C7" w:rsidRDefault="001153C7">
                                    <w:pPr>
                                      <w:rPr>
                                        <w:rFonts w:eastAsia="Times New Roman"/>
                                        <w:sz w:val="20"/>
                                        <w:szCs w:val="20"/>
                                      </w:rPr>
                                    </w:pPr>
                                  </w:p>
                                </w:tc>
                              </w:tr>
                            </w:tbl>
                            <w:p w:rsidR="001153C7" w:rsidRDefault="001153C7">
                              <w:pPr>
                                <w:rPr>
                                  <w:rFonts w:eastAsia="Times New Roman"/>
                                  <w:sz w:val="20"/>
                                  <w:szCs w:val="20"/>
                                </w:rPr>
                              </w:pPr>
                            </w:p>
                          </w:tc>
                        </w:tr>
                      </w:tbl>
                      <w:p w:rsidR="001153C7" w:rsidRDefault="001153C7">
                        <w:pPr>
                          <w:rPr>
                            <w:rFonts w:eastAsia="Times New Roman"/>
                            <w:sz w:val="20"/>
                            <w:szCs w:val="20"/>
                          </w:rPr>
                        </w:pPr>
                      </w:p>
                    </w:tc>
                  </w:tr>
                </w:tbl>
                <w:p w:rsidR="001153C7" w:rsidRDefault="001153C7">
                  <w:pPr>
                    <w:rPr>
                      <w:rFonts w:eastAsia="Times New Roman"/>
                      <w:sz w:val="20"/>
                      <w:szCs w:val="20"/>
                    </w:rPr>
                  </w:pPr>
                </w:p>
              </w:tc>
            </w:tr>
          </w:tbl>
          <w:p w:rsidR="001153C7" w:rsidRDefault="001153C7">
            <w:pPr>
              <w:rPr>
                <w:rFonts w:ascii="Arial" w:hAnsi="Arial" w:cs="Arial"/>
                <w:vanish/>
                <w:color w:val="000000"/>
                <w:sz w:val="18"/>
                <w:szCs w:val="18"/>
              </w:rPr>
            </w:pPr>
          </w:p>
          <w:tbl>
            <w:tblPr>
              <w:tblW w:w="0" w:type="auto"/>
              <w:tblCellSpacing w:w="0" w:type="dxa"/>
              <w:tblInd w:w="375" w:type="dxa"/>
              <w:tblCellMar>
                <w:left w:w="0" w:type="dxa"/>
                <w:right w:w="0" w:type="dxa"/>
              </w:tblCellMar>
              <w:tblLook w:val="04A0" w:firstRow="1" w:lastRow="0" w:firstColumn="1" w:lastColumn="0" w:noHBand="0" w:noVBand="1"/>
            </w:tblPr>
            <w:tblGrid>
              <w:gridCol w:w="8115"/>
            </w:tblGrid>
            <w:tr w:rsidR="001153C7">
              <w:trPr>
                <w:trHeight w:val="450"/>
                <w:tblCellSpacing w:w="0" w:type="dxa"/>
              </w:trPr>
              <w:tc>
                <w:tcPr>
                  <w:tcW w:w="8250" w:type="dxa"/>
                  <w:shd w:val="clear" w:color="auto" w:fill="FFFFFF"/>
                  <w:vAlign w:val="center"/>
                  <w:hideMark/>
                </w:tcPr>
                <w:p w:rsidR="001153C7" w:rsidRDefault="001153C7">
                  <w:pPr>
                    <w:rPr>
                      <w:rFonts w:ascii="Arial" w:hAnsi="Arial" w:cs="Arial"/>
                      <w:sz w:val="18"/>
                      <w:szCs w:val="18"/>
                    </w:rPr>
                  </w:pPr>
                  <w:r>
                    <w:rPr>
                      <w:rFonts w:ascii="Arial" w:hAnsi="Arial" w:cs="Arial"/>
                      <w:sz w:val="18"/>
                      <w:szCs w:val="18"/>
                    </w:rPr>
                    <w:t> </w:t>
                  </w:r>
                </w:p>
              </w:tc>
            </w:tr>
          </w:tbl>
          <w:p w:rsidR="001153C7" w:rsidRDefault="001153C7">
            <w:pPr>
              <w:rPr>
                <w:rFonts w:eastAsia="Times New Roman"/>
                <w:sz w:val="20"/>
                <w:szCs w:val="20"/>
              </w:rPr>
            </w:pPr>
          </w:p>
        </w:tc>
      </w:tr>
    </w:tbl>
    <w:p w:rsidR="00433E94" w:rsidRDefault="00433E94"/>
    <w:sectPr w:rsidR="00433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C7"/>
    <w:rsid w:val="001153C7"/>
    <w:rsid w:val="00432B71"/>
    <w:rsid w:val="00433E94"/>
    <w:rsid w:val="0087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BD0FF-09AE-4C48-8D92-D27F72C3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153C7"/>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1153C7"/>
    <w:pPr>
      <w:spacing w:after="160" w:line="280" w:lineRule="atLeast"/>
      <w:ind w:right="150"/>
      <w:outlineLvl w:val="1"/>
    </w:pPr>
    <w:rPr>
      <w:rFonts w:ascii="Arial" w:eastAsiaTheme="minorEastAsia" w:hAnsi="Arial" w:cs="Arial"/>
      <w:b/>
      <w:bCs/>
      <w:color w:val="0091DA"/>
    </w:rPr>
  </w:style>
  <w:style w:type="paragraph" w:styleId="Heading4">
    <w:name w:val="heading 4"/>
    <w:basedOn w:val="Normal"/>
    <w:next w:val="Normal"/>
    <w:link w:val="Heading4Char"/>
    <w:uiPriority w:val="9"/>
    <w:semiHidden/>
    <w:unhideWhenUsed/>
    <w:qFormat/>
    <w:rsid w:val="001153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53C7"/>
    <w:rPr>
      <w:rFonts w:ascii="Arial" w:eastAsiaTheme="minorEastAsia" w:hAnsi="Arial" w:cs="Arial"/>
      <w:b/>
      <w:bCs/>
      <w:color w:val="0091DA"/>
      <w:sz w:val="24"/>
      <w:szCs w:val="24"/>
    </w:rPr>
  </w:style>
  <w:style w:type="character" w:customStyle="1" w:styleId="Heading4Char">
    <w:name w:val="Heading 4 Char"/>
    <w:basedOn w:val="DefaultParagraphFont"/>
    <w:link w:val="Heading4"/>
    <w:uiPriority w:val="9"/>
    <w:semiHidden/>
    <w:rsid w:val="001153C7"/>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1153C7"/>
    <w:rPr>
      <w:color w:val="0563C1"/>
      <w:u w:val="single"/>
    </w:rPr>
  </w:style>
  <w:style w:type="paragraph" w:styleId="NormalWeb">
    <w:name w:val="Normal (Web)"/>
    <w:basedOn w:val="Normal"/>
    <w:uiPriority w:val="99"/>
    <w:semiHidden/>
    <w:unhideWhenUsed/>
    <w:rsid w:val="001153C7"/>
    <w:pPr>
      <w:spacing w:before="100" w:beforeAutospacing="1" w:after="100" w:afterAutospacing="1"/>
    </w:pPr>
    <w:rPr>
      <w:rFonts w:eastAsia="Times New Roman"/>
    </w:rPr>
  </w:style>
  <w:style w:type="paragraph" w:customStyle="1" w:styleId="paragraph">
    <w:name w:val="paragraph"/>
    <w:basedOn w:val="Normal"/>
    <w:uiPriority w:val="99"/>
    <w:semiHidden/>
    <w:rsid w:val="001153C7"/>
    <w:pPr>
      <w:spacing w:after="300" w:line="230" w:lineRule="atLeast"/>
      <w:ind w:right="150"/>
    </w:pPr>
    <w:rPr>
      <w:rFonts w:ascii="Arial" w:hAnsi="Arial" w:cs="Arial"/>
      <w:color w:val="000000"/>
      <w:sz w:val="19"/>
      <w:szCs w:val="19"/>
    </w:rPr>
  </w:style>
  <w:style w:type="paragraph" w:customStyle="1" w:styleId="disclaimer">
    <w:name w:val="disclaimer"/>
    <w:basedOn w:val="Normal"/>
    <w:uiPriority w:val="99"/>
    <w:semiHidden/>
    <w:rsid w:val="001153C7"/>
    <w:pPr>
      <w:spacing w:line="180" w:lineRule="atLeast"/>
    </w:pPr>
    <w:rPr>
      <w:rFonts w:ascii="Arial" w:hAnsi="Arial" w:cs="Arial"/>
      <w:color w:val="747678"/>
      <w:sz w:val="14"/>
      <w:szCs w:val="14"/>
    </w:rPr>
  </w:style>
  <w:style w:type="paragraph" w:customStyle="1" w:styleId="boxtext">
    <w:name w:val="boxtext"/>
    <w:basedOn w:val="Normal"/>
    <w:uiPriority w:val="99"/>
    <w:semiHidden/>
    <w:rsid w:val="001153C7"/>
    <w:pPr>
      <w:spacing w:before="100" w:beforeAutospacing="1" w:after="100" w:afterAutospacing="1"/>
    </w:pPr>
    <w:rPr>
      <w:rFonts w:eastAsia="Times New Roman"/>
    </w:rPr>
  </w:style>
  <w:style w:type="paragraph" w:customStyle="1" w:styleId="social-media-link">
    <w:name w:val="social-media-link"/>
    <w:basedOn w:val="Normal"/>
    <w:uiPriority w:val="99"/>
    <w:semiHidden/>
    <w:rsid w:val="001153C7"/>
    <w:pPr>
      <w:spacing w:before="100" w:beforeAutospacing="1" w:after="100" w:afterAutospacing="1"/>
    </w:pPr>
    <w:rPr>
      <w:rFonts w:eastAsia="Times New Roman"/>
    </w:rPr>
  </w:style>
  <w:style w:type="character" w:customStyle="1" w:styleId="boxtext1">
    <w:name w:val="boxtext1"/>
    <w:basedOn w:val="DefaultParagraphFont"/>
    <w:rsid w:val="001153C7"/>
  </w:style>
  <w:style w:type="character" w:customStyle="1" w:styleId="apple-converted-space">
    <w:name w:val="apple-converted-space"/>
    <w:basedOn w:val="DefaultParagraphFont"/>
    <w:rsid w:val="001153C7"/>
  </w:style>
  <w:style w:type="character" w:styleId="Strong">
    <w:name w:val="Strong"/>
    <w:basedOn w:val="DefaultParagraphFont"/>
    <w:uiPriority w:val="22"/>
    <w:qFormat/>
    <w:rsid w:val="00115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245070">
      <w:bodyDiv w:val="1"/>
      <w:marLeft w:val="0"/>
      <w:marRight w:val="0"/>
      <w:marTop w:val="0"/>
      <w:marBottom w:val="0"/>
      <w:divBdr>
        <w:top w:val="none" w:sz="0" w:space="0" w:color="auto"/>
        <w:left w:val="none" w:sz="0" w:space="0" w:color="auto"/>
        <w:bottom w:val="none" w:sz="0" w:space="0" w:color="auto"/>
        <w:right w:val="none" w:sz="0" w:space="0" w:color="auto"/>
      </w:divBdr>
      <w:divsChild>
        <w:div w:id="12492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ba.org" TargetMode="External"/><Relationship Id="rId13" Type="http://schemas.openxmlformats.org/officeDocument/2006/relationships/hyperlink" Target="http://www.kpmg.com/socialmedia" TargetMode="External"/><Relationship Id="rId18" Type="http://schemas.openxmlformats.org/officeDocument/2006/relationships/hyperlink" Target="http://www.facebook.com/KPMGU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s://www.kpmg-institutes.com/institutes/taxwatch/events/2016/11/managing-cbps-new-approach-to-audits.html" TargetMode="External"/><Relationship Id="rId12" Type="http://schemas.openxmlformats.org/officeDocument/2006/relationships/hyperlink" Target="mailto:us-mktnatlmisoptout@kpmg.com?subject=Opt%20Out:%20All%20Correspondence%20-%20Origin:%20KPMG%20TaxWatch%20Webcast%20--%2011/29%20Manging%20CBP's%20new%20approach%20to%20audits"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inkedin.com/company/kpmg-us" TargetMode="External"/><Relationship Id="rId20" Type="http://schemas.openxmlformats.org/officeDocument/2006/relationships/hyperlink" Target="http://www.youtube.com/user/KPMGMediaChanne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us-mktnatlmisoptout@kpmg.com?subject=Opt%20Out:%20KPMG%20TaxWatch%20Webcast%20--%2011/29%20Managing%20CBP's%20new%20appraoch%20to%20Audits" TargetMode="External"/><Relationship Id="rId24" Type="http://schemas.openxmlformats.org/officeDocument/2006/relationships/image" Target="media/image7.jpeg"/><Relationship Id="rId5" Type="http://schemas.openxmlformats.org/officeDocument/2006/relationships/hyperlink" Target="https://www.kpmg-institutes.com/institutes/taxwatch/events/2016/12/managing-cbps-new-approach-to-audits.html" TargetMode="External"/><Relationship Id="rId15" Type="http://schemas.openxmlformats.org/officeDocument/2006/relationships/image" Target="media/image3.jpeg"/><Relationship Id="rId23" Type="http://schemas.openxmlformats.org/officeDocument/2006/relationships/hyperlink" Target="http://www.instagram.com/kpmgus/" TargetMode="External"/><Relationship Id="rId10" Type="http://schemas.openxmlformats.org/officeDocument/2006/relationships/hyperlink" Target="http://www.kpmg.com/US/en/Pages/onlinedisclaimer.aspx" TargetMode="External"/><Relationship Id="rId19"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www.kpmg.com/US/en/Pages/privacy.aspx" TargetMode="External"/><Relationship Id="rId14" Type="http://schemas.openxmlformats.org/officeDocument/2006/relationships/hyperlink" Target="http://twitter.com/KPMG_US" TargetMode="External"/><Relationship Id="rId22" Type="http://schemas.openxmlformats.org/officeDocument/2006/relationships/hyperlink" Target="http://plus.google.com/+KPMG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Theresa A</dc:creator>
  <cp:keywords/>
  <dc:description/>
  <cp:lastModifiedBy>Linda Lexo</cp:lastModifiedBy>
  <cp:revision>2</cp:revision>
  <dcterms:created xsi:type="dcterms:W3CDTF">2016-11-29T19:23:00Z</dcterms:created>
  <dcterms:modified xsi:type="dcterms:W3CDTF">2016-11-29T19:23:00Z</dcterms:modified>
</cp:coreProperties>
</file>