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noProof/>
          <w:color w:val="000000"/>
        </w:rPr>
        <mc:AlternateContent>
          <mc:Choice Requires="wps">
            <w:drawing>
              <wp:inline distT="0" distB="0" distL="0" distR="0">
                <wp:extent cx="5486400" cy="914400"/>
                <wp:effectExtent l="0" t="0" r="0" b="0"/>
                <wp:docPr id="3" name="Rectangle 3" descr="ICPA Logo - 300 dp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0DF104" id="Rectangle 3" o:spid="_x0000_s1026" alt="ICPA Logo - 300 dpi" style="width:6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" filled="f" stroked="f">
                <o:lock v:ext="edit" aspectratio="t"/>
                <w10:anchorlock/>
              </v:rect>
            </w:pict>
          </mc:Fallback>
        </mc:AlternateConten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b/>
          <w:bCs/>
          <w:color w:val="000000"/>
          <w:sz w:val="44"/>
          <w:szCs w:val="44"/>
        </w:rPr>
        <w:t> </w:t>
      </w:r>
    </w:p>
    <w:p w:rsidR="00FA599C" w:rsidRPr="00FA599C" w:rsidRDefault="00FA599C" w:rsidP="00FA599C">
      <w:pPr>
        <w:shd w:val="clear" w:color="auto" w:fill="FDFDFD"/>
        <w:spacing w:after="0" w:line="240" w:lineRule="auto"/>
        <w:rPr>
          <w:rFonts w:ascii="Calibri" w:eastAsia="Times New Roman" w:hAnsi="Calibri" w:cs="Times New Roman"/>
          <w:color w:val="000000"/>
        </w:rPr>
      </w:pPr>
      <w:bookmarkStart w:id="0" w:name="_GoBack"/>
      <w:bookmarkEnd w:id="0"/>
      <w:r w:rsidRPr="00FA599C">
        <w:rPr>
          <w:rFonts w:ascii="Calibri" w:eastAsia="Times New Roman" w:hAnsi="Calibri" w:cs="Times New Roman"/>
          <w:noProof/>
          <w:color w:val="000000"/>
        </w:rPr>
        <mc:AlternateContent>
          <mc:Choice Requires="wps">
            <w:drawing>
              <wp:inline distT="0" distB="0" distL="0" distR="0">
                <wp:extent cx="5486400" cy="914400"/>
                <wp:effectExtent l="0" t="0" r="0" b="0"/>
                <wp:docPr id="2" name="Rectangle 2" descr="ICPA Logo - 300 dp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68ECE1" id="Rectangle 2" o:spid="_x0000_s1026" alt="ICPA Logo - 300 dpi" style="width:6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" filled="f" stroked="f">
                <o:lock v:ext="edit" aspectratio="t"/>
                <w10:anchorlock/>
              </v:rect>
            </w:pict>
          </mc:Fallback>
        </mc:AlternateConten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b/>
          <w:bCs/>
          <w:color w:val="000000"/>
          <w:sz w:val="44"/>
          <w:szCs w:val="44"/>
        </w:rPr>
        <w:t> </w:t>
      </w:r>
    </w:p>
    <w:p w:rsidR="00FA599C" w:rsidRPr="00FA599C" w:rsidRDefault="00FA599C" w:rsidP="00FA599C">
      <w:pPr>
        <w:shd w:val="clear" w:color="auto" w:fill="FDFDFD"/>
        <w:spacing w:after="0" w:line="240" w:lineRule="auto"/>
        <w:jc w:val="center"/>
        <w:rPr>
          <w:rFonts w:ascii="Calibri" w:eastAsia="Times New Roman" w:hAnsi="Calibri" w:cs="Times New Roman"/>
          <w:color w:val="000000"/>
        </w:rPr>
      </w:pPr>
      <w:r w:rsidRPr="00FA599C">
        <w:rPr>
          <w:rFonts w:ascii="Calibri" w:eastAsia="Times New Roman" w:hAnsi="Calibri" w:cs="Times New Roman"/>
          <w:b/>
          <w:bCs/>
          <w:color w:val="000000"/>
          <w:sz w:val="44"/>
          <w:szCs w:val="44"/>
        </w:rPr>
        <w:t>Job Opportunity</w: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color w:val="000000"/>
          <w:sz w:val="24"/>
          <w:szCs w:val="24"/>
        </w:rPr>
        <w:t> </w: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color w:val="000000"/>
        </w:rPr>
        <w:t> </w:t>
      </w:r>
    </w:p>
    <w:tbl>
      <w:tblPr>
        <w:tblW w:w="0" w:type="auto"/>
        <w:shd w:val="clear" w:color="auto" w:fill="FDFDFD"/>
        <w:tblCellMar>
          <w:left w:w="0" w:type="dxa"/>
          <w:right w:w="0" w:type="dxa"/>
        </w:tblCellMar>
        <w:tblLook w:val="04A0" w:firstRow="1" w:lastRow="0" w:firstColumn="1" w:lastColumn="0" w:noHBand="0" w:noVBand="1"/>
      </w:tblPr>
      <w:tblGrid>
        <w:gridCol w:w="2448"/>
        <w:gridCol w:w="6408"/>
      </w:tblGrid>
      <w:tr w:rsidR="00FA599C" w:rsidRPr="00FA599C" w:rsidTr="00FA599C">
        <w:tc>
          <w:tcPr>
            <w:tcW w:w="2448"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A599C" w:rsidRPr="00FA599C" w:rsidRDefault="00FA599C" w:rsidP="00FA599C">
            <w:pPr>
              <w:spacing w:after="0" w:line="240" w:lineRule="auto"/>
              <w:rPr>
                <w:rFonts w:ascii="Calibri" w:eastAsia="Times New Roman" w:hAnsi="Calibri" w:cs="Times New Roman"/>
              </w:rPr>
            </w:pPr>
            <w:r w:rsidRPr="00FA599C">
              <w:rPr>
                <w:rFonts w:ascii="Calibri" w:eastAsia="Times New Roman" w:hAnsi="Calibri" w:cs="Times New Roman"/>
              </w:rPr>
              <w:t>Company</w:t>
            </w:r>
          </w:p>
        </w:tc>
        <w:tc>
          <w:tcPr>
            <w:tcW w:w="640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A599C" w:rsidRPr="00FA599C" w:rsidRDefault="00FA599C" w:rsidP="00FA599C">
            <w:pPr>
              <w:spacing w:after="0" w:line="240" w:lineRule="auto"/>
              <w:rPr>
                <w:rFonts w:ascii="Calibri" w:eastAsia="Times New Roman" w:hAnsi="Calibri" w:cs="Times New Roman"/>
              </w:rPr>
            </w:pPr>
            <w:r w:rsidRPr="00FA599C">
              <w:rPr>
                <w:rFonts w:ascii="Calibri" w:eastAsia="Times New Roman" w:hAnsi="Calibri" w:cs="Times New Roman"/>
                <w:lang w:val="es-ES"/>
              </w:rPr>
              <w:t xml:space="preserve">Total </w:t>
            </w:r>
            <w:proofErr w:type="spellStart"/>
            <w:r w:rsidRPr="00FA599C">
              <w:rPr>
                <w:rFonts w:ascii="Calibri" w:eastAsia="Times New Roman" w:hAnsi="Calibri" w:cs="Times New Roman"/>
                <w:lang w:val="es-ES"/>
              </w:rPr>
              <w:t>Petrochemicals</w:t>
            </w:r>
            <w:proofErr w:type="spellEnd"/>
            <w:r w:rsidRPr="00FA599C">
              <w:rPr>
                <w:rFonts w:ascii="Calibri" w:eastAsia="Times New Roman" w:hAnsi="Calibri" w:cs="Times New Roman"/>
                <w:lang w:val="es-ES"/>
              </w:rPr>
              <w:t xml:space="preserve"> &amp; </w:t>
            </w:r>
            <w:proofErr w:type="spellStart"/>
            <w:r w:rsidRPr="00FA599C">
              <w:rPr>
                <w:rFonts w:ascii="Calibri" w:eastAsia="Times New Roman" w:hAnsi="Calibri" w:cs="Times New Roman"/>
                <w:lang w:val="es-ES"/>
              </w:rPr>
              <w:t>Refining</w:t>
            </w:r>
            <w:proofErr w:type="spellEnd"/>
            <w:r w:rsidRPr="00FA599C">
              <w:rPr>
                <w:rFonts w:ascii="Calibri" w:eastAsia="Times New Roman" w:hAnsi="Calibri" w:cs="Times New Roman"/>
                <w:lang w:val="es-ES"/>
              </w:rPr>
              <w:t xml:space="preserve"> USA, Inc.</w:t>
            </w:r>
          </w:p>
        </w:tc>
      </w:tr>
      <w:tr w:rsidR="00FA599C" w:rsidRPr="00FA599C" w:rsidTr="00FA599C">
        <w:tc>
          <w:tcPr>
            <w:tcW w:w="2448"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A599C" w:rsidRPr="00FA599C" w:rsidRDefault="00FA599C" w:rsidP="00FA599C">
            <w:pPr>
              <w:spacing w:after="0" w:line="240" w:lineRule="auto"/>
              <w:rPr>
                <w:rFonts w:ascii="Calibri" w:eastAsia="Times New Roman" w:hAnsi="Calibri" w:cs="Times New Roman"/>
              </w:rPr>
            </w:pPr>
            <w:r w:rsidRPr="00FA599C">
              <w:rPr>
                <w:rFonts w:ascii="Calibri" w:eastAsia="Times New Roman" w:hAnsi="Calibri" w:cs="Times New Roman"/>
              </w:rPr>
              <w:t>Job Title</w:t>
            </w:r>
          </w:p>
        </w:tc>
        <w:tc>
          <w:tcPr>
            <w:tcW w:w="640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A599C" w:rsidRPr="00FA599C" w:rsidRDefault="00FA599C" w:rsidP="00FA599C">
            <w:pPr>
              <w:spacing w:after="0" w:line="240" w:lineRule="auto"/>
              <w:rPr>
                <w:rFonts w:ascii="Calibri" w:eastAsia="Times New Roman" w:hAnsi="Calibri" w:cs="Times New Roman"/>
              </w:rPr>
            </w:pPr>
            <w:r w:rsidRPr="00FA599C">
              <w:rPr>
                <w:rFonts w:ascii="Calibri" w:eastAsia="Times New Roman" w:hAnsi="Calibri" w:cs="Times New Roman"/>
              </w:rPr>
              <w:t>Import/Export Compliance Specialist</w:t>
            </w:r>
          </w:p>
        </w:tc>
      </w:tr>
      <w:tr w:rsidR="00FA599C" w:rsidRPr="00FA599C" w:rsidTr="00FA599C">
        <w:tc>
          <w:tcPr>
            <w:tcW w:w="2448"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A599C" w:rsidRPr="00FA599C" w:rsidRDefault="00FA599C" w:rsidP="00FA599C">
            <w:pPr>
              <w:spacing w:after="0" w:line="240" w:lineRule="auto"/>
              <w:rPr>
                <w:rFonts w:ascii="Calibri" w:eastAsia="Times New Roman" w:hAnsi="Calibri" w:cs="Times New Roman"/>
              </w:rPr>
            </w:pPr>
            <w:r w:rsidRPr="00FA599C">
              <w:rPr>
                <w:rFonts w:ascii="Calibri" w:eastAsia="Times New Roman" w:hAnsi="Calibri" w:cs="Times New Roman"/>
              </w:rPr>
              <w:t>Location</w:t>
            </w:r>
          </w:p>
        </w:tc>
        <w:tc>
          <w:tcPr>
            <w:tcW w:w="640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A599C" w:rsidRPr="00FA599C" w:rsidRDefault="00FA599C" w:rsidP="00FA599C">
            <w:pPr>
              <w:spacing w:after="0" w:line="240" w:lineRule="auto"/>
              <w:rPr>
                <w:rFonts w:ascii="Calibri" w:eastAsia="Times New Roman" w:hAnsi="Calibri" w:cs="Times New Roman"/>
              </w:rPr>
            </w:pPr>
            <w:r w:rsidRPr="00FA599C">
              <w:rPr>
                <w:rFonts w:ascii="Calibri" w:eastAsia="Times New Roman" w:hAnsi="Calibri" w:cs="Times New Roman"/>
              </w:rPr>
              <w:t>Houston, TX</w:t>
            </w:r>
          </w:p>
        </w:tc>
      </w:tr>
      <w:tr w:rsidR="00FA599C" w:rsidRPr="00FA599C" w:rsidTr="00FA599C">
        <w:tc>
          <w:tcPr>
            <w:tcW w:w="2448"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A599C" w:rsidRPr="00FA599C" w:rsidRDefault="00FA599C" w:rsidP="00FA599C">
            <w:pPr>
              <w:spacing w:after="0" w:line="240" w:lineRule="auto"/>
              <w:rPr>
                <w:rFonts w:ascii="Calibri" w:eastAsia="Times New Roman" w:hAnsi="Calibri" w:cs="Times New Roman"/>
              </w:rPr>
            </w:pPr>
            <w:r w:rsidRPr="00FA599C">
              <w:rPr>
                <w:rFonts w:ascii="Calibri" w:eastAsia="Times New Roman" w:hAnsi="Calibri" w:cs="Times New Roman"/>
              </w:rPr>
              <w:t>Salary Range</w:t>
            </w:r>
          </w:p>
        </w:tc>
        <w:tc>
          <w:tcPr>
            <w:tcW w:w="640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A599C" w:rsidRPr="00FA599C" w:rsidRDefault="00FA599C" w:rsidP="00FA599C">
            <w:pPr>
              <w:spacing w:after="0" w:line="240" w:lineRule="auto"/>
              <w:rPr>
                <w:rFonts w:ascii="Calibri" w:eastAsia="Times New Roman" w:hAnsi="Calibri" w:cs="Times New Roman"/>
              </w:rPr>
            </w:pPr>
            <w:r w:rsidRPr="00FA599C">
              <w:rPr>
                <w:rFonts w:ascii="Calibri" w:eastAsia="Times New Roman" w:hAnsi="Calibri" w:cs="Times New Roman"/>
                <w:sz w:val="24"/>
                <w:szCs w:val="24"/>
              </w:rPr>
              <w:t> </w:t>
            </w:r>
          </w:p>
        </w:tc>
      </w:tr>
      <w:tr w:rsidR="00FA599C" w:rsidRPr="00FA599C" w:rsidTr="00FA599C">
        <w:tc>
          <w:tcPr>
            <w:tcW w:w="2448"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A599C" w:rsidRPr="00FA599C" w:rsidRDefault="00FA599C" w:rsidP="00FA599C">
            <w:pPr>
              <w:spacing w:after="0" w:line="240" w:lineRule="auto"/>
              <w:rPr>
                <w:rFonts w:ascii="Calibri" w:eastAsia="Times New Roman" w:hAnsi="Calibri" w:cs="Times New Roman"/>
              </w:rPr>
            </w:pPr>
            <w:r w:rsidRPr="00FA599C">
              <w:rPr>
                <w:rFonts w:ascii="Calibri" w:eastAsia="Times New Roman" w:hAnsi="Calibri" w:cs="Times New Roman"/>
              </w:rPr>
              <w:t>Relocation Assistance</w:t>
            </w:r>
          </w:p>
        </w:tc>
        <w:tc>
          <w:tcPr>
            <w:tcW w:w="640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A599C" w:rsidRPr="00FA599C" w:rsidRDefault="00FA599C" w:rsidP="00FA599C">
            <w:pPr>
              <w:spacing w:after="0" w:line="240" w:lineRule="auto"/>
              <w:rPr>
                <w:rFonts w:ascii="Calibri" w:eastAsia="Times New Roman" w:hAnsi="Calibri" w:cs="Times New Roman"/>
              </w:rPr>
            </w:pPr>
            <w:r w:rsidRPr="00FA599C">
              <w:rPr>
                <w:rFonts w:ascii="Calibri" w:eastAsia="Times New Roman" w:hAnsi="Calibri" w:cs="Times New Roman"/>
              </w:rPr>
              <w:t>No</w:t>
            </w:r>
          </w:p>
        </w:tc>
      </w:tr>
    </w:tbl>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color w:val="000000"/>
        </w:rPr>
        <w:t> </w: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color w:val="000000"/>
        </w:rPr>
        <w:t> </w: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b/>
          <w:bCs/>
          <w:color w:val="000000"/>
          <w:sz w:val="32"/>
          <w:szCs w:val="32"/>
          <w:u w:val="single"/>
        </w:rPr>
        <w:t>Job Description / Responsibilities / Requirements</w:t>
      </w:r>
    </w:p>
    <w:p w:rsidR="00FA599C" w:rsidRPr="00FA599C" w:rsidRDefault="00FA599C" w:rsidP="00FA599C">
      <w:pPr>
        <w:shd w:val="clear" w:color="auto" w:fill="FDFDFD"/>
        <w:spacing w:before="100" w:beforeAutospacing="1" w:after="100" w:afterAutospacing="1" w:line="240" w:lineRule="auto"/>
        <w:rPr>
          <w:rFonts w:ascii="Arial" w:eastAsia="Times New Roman" w:hAnsi="Arial" w:cs="Arial"/>
          <w:color w:val="000000"/>
          <w:sz w:val="18"/>
          <w:szCs w:val="18"/>
        </w:rPr>
      </w:pPr>
      <w:r w:rsidRPr="00FA599C">
        <w:rPr>
          <w:rFonts w:ascii="Arial" w:eastAsia="Times New Roman" w:hAnsi="Arial" w:cs="Arial"/>
          <w:b/>
          <w:bCs/>
          <w:color w:val="000000"/>
          <w:sz w:val="18"/>
          <w:szCs w:val="18"/>
        </w:rPr>
        <w:t>BASIC FUNCTION:</w:t>
      </w:r>
    </w:p>
    <w:p w:rsidR="00FA599C" w:rsidRPr="00FA599C" w:rsidRDefault="00FA599C" w:rsidP="00FA599C">
      <w:pPr>
        <w:shd w:val="clear" w:color="auto" w:fill="FDFDFD"/>
        <w:spacing w:before="100" w:beforeAutospacing="1" w:after="100" w:afterAutospacing="1" w:line="240" w:lineRule="auto"/>
        <w:rPr>
          <w:rFonts w:ascii="Arial" w:eastAsia="Times New Roman" w:hAnsi="Arial" w:cs="Arial"/>
          <w:color w:val="000000"/>
          <w:sz w:val="18"/>
          <w:szCs w:val="18"/>
        </w:rPr>
      </w:pPr>
      <w:r w:rsidRPr="00FA599C">
        <w:rPr>
          <w:rFonts w:ascii="Arial" w:eastAsia="Times New Roman" w:hAnsi="Arial" w:cs="Arial"/>
          <w:color w:val="000000"/>
          <w:sz w:val="18"/>
          <w:szCs w:val="18"/>
        </w:rPr>
        <w:t>Adhere to TPRI’s Import Export Compliance Procedures and Policies following all laws and regulations. Provide support and backup responsibilities for other functions within the department for Exports and Licensing of Controlled items. Implement changes or enhancements to imports based on new rules &amp; regulations, new compliance programs, or process improvements. Interact with the Business to minimize risk by avoiding penalties.</w:t>
      </w:r>
    </w:p>
    <w:p w:rsidR="00FA599C" w:rsidRPr="00FA599C" w:rsidRDefault="00FA599C" w:rsidP="00FA599C">
      <w:pPr>
        <w:shd w:val="clear" w:color="auto" w:fill="FDFDFD"/>
        <w:spacing w:before="100" w:beforeAutospacing="1" w:after="100" w:afterAutospacing="1" w:line="240" w:lineRule="auto"/>
        <w:rPr>
          <w:rFonts w:ascii="Arial" w:eastAsia="Times New Roman" w:hAnsi="Arial" w:cs="Arial"/>
          <w:color w:val="000000"/>
          <w:sz w:val="18"/>
          <w:szCs w:val="18"/>
        </w:rPr>
      </w:pPr>
      <w:r w:rsidRPr="00FA599C">
        <w:rPr>
          <w:rFonts w:ascii="Arial" w:eastAsia="Times New Roman" w:hAnsi="Arial" w:cs="Arial"/>
          <w:b/>
          <w:bCs/>
          <w:color w:val="000000"/>
          <w:sz w:val="18"/>
          <w:szCs w:val="18"/>
        </w:rPr>
        <w:t>RESPONSIBILITIES:</w:t>
      </w:r>
    </w:p>
    <w:p w:rsidR="00FA599C" w:rsidRPr="00FA599C" w:rsidRDefault="00FA599C" w:rsidP="00FA599C">
      <w:pPr>
        <w:numPr>
          <w:ilvl w:val="0"/>
          <w:numId w:val="1"/>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t>Ensure compliance with all applicable U.S. import government regulations, but not limited to, ITAR and FDA.</w:t>
      </w:r>
    </w:p>
    <w:p w:rsidR="00FA599C" w:rsidRPr="00FA599C" w:rsidRDefault="00FA599C" w:rsidP="00FA599C">
      <w:pPr>
        <w:numPr>
          <w:ilvl w:val="0"/>
          <w:numId w:val="1"/>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t>Publish and maintain Import Compliance Manual containing formal policies and procedures relating to the handling of import activities and coordinate these policies with others to ensure compliance with applicable regulations.</w:t>
      </w:r>
    </w:p>
    <w:p w:rsidR="00FA599C" w:rsidRPr="00FA599C" w:rsidRDefault="00FA599C" w:rsidP="00FA599C">
      <w:pPr>
        <w:numPr>
          <w:ilvl w:val="0"/>
          <w:numId w:val="1"/>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t>Assist with annual training for new hires and existing personnel dealing with imports of goods and services to facilitate the application of proper processes, procedures, regulations, and laws relating to imports.</w:t>
      </w:r>
    </w:p>
    <w:p w:rsidR="00FA599C" w:rsidRPr="00FA599C" w:rsidRDefault="00FA599C" w:rsidP="00FA599C">
      <w:pPr>
        <w:numPr>
          <w:ilvl w:val="0"/>
          <w:numId w:val="1"/>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t xml:space="preserve">Cross-functionally responsible for ensuring that TPRI adheres to the compliance requirements of the Customs-Trade Partnership </w:t>
      </w:r>
      <w:proofErr w:type="gramStart"/>
      <w:r w:rsidRPr="00FA599C">
        <w:rPr>
          <w:rFonts w:ascii="Arial" w:eastAsia="Times New Roman" w:hAnsi="Arial" w:cs="Arial"/>
          <w:color w:val="000000"/>
          <w:sz w:val="18"/>
          <w:szCs w:val="18"/>
        </w:rPr>
        <w:t>Against</w:t>
      </w:r>
      <w:proofErr w:type="gramEnd"/>
      <w:r w:rsidRPr="00FA599C">
        <w:rPr>
          <w:rFonts w:ascii="Arial" w:eastAsia="Times New Roman" w:hAnsi="Arial" w:cs="Arial"/>
          <w:color w:val="000000"/>
          <w:sz w:val="18"/>
          <w:szCs w:val="18"/>
        </w:rPr>
        <w:t xml:space="preserve"> Terrorism (C-TPAT) and the Importer </w:t>
      </w:r>
      <w:proofErr w:type="spellStart"/>
      <w:r w:rsidRPr="00FA599C">
        <w:rPr>
          <w:rFonts w:ascii="Arial" w:eastAsia="Times New Roman" w:hAnsi="Arial" w:cs="Arial"/>
          <w:color w:val="000000"/>
          <w:sz w:val="18"/>
          <w:szCs w:val="18"/>
        </w:rPr>
        <w:t>Self Assessment</w:t>
      </w:r>
      <w:proofErr w:type="spellEnd"/>
      <w:r w:rsidRPr="00FA599C">
        <w:rPr>
          <w:rFonts w:ascii="Arial" w:eastAsia="Times New Roman" w:hAnsi="Arial" w:cs="Arial"/>
          <w:color w:val="000000"/>
          <w:sz w:val="18"/>
          <w:szCs w:val="18"/>
        </w:rPr>
        <w:t xml:space="preserve"> Program (ISA). Annually prepare and distribute C-TPAT security letters to suppliers and service providers.</w:t>
      </w:r>
    </w:p>
    <w:p w:rsidR="00FA599C" w:rsidRPr="00FA599C" w:rsidRDefault="00FA599C" w:rsidP="00FA599C">
      <w:pPr>
        <w:numPr>
          <w:ilvl w:val="0"/>
          <w:numId w:val="1"/>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t>Audit import activities to ensure compliance with all applicable regulations and requirements.</w:t>
      </w:r>
    </w:p>
    <w:p w:rsidR="00FA599C" w:rsidRPr="00FA599C" w:rsidRDefault="00FA599C" w:rsidP="00FA599C">
      <w:pPr>
        <w:numPr>
          <w:ilvl w:val="0"/>
          <w:numId w:val="1"/>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t>Respond to U.S. Customs Requests for Information and Notices of Action regarding imported goods.</w:t>
      </w:r>
    </w:p>
    <w:p w:rsidR="00FA599C" w:rsidRPr="00FA599C" w:rsidRDefault="00FA599C" w:rsidP="00FA599C">
      <w:pPr>
        <w:numPr>
          <w:ilvl w:val="0"/>
          <w:numId w:val="1"/>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t>Prepare and secure supporting documentation for filing Supplemental Information Letters, Post Entry Amendments, Protests and Prior Disclosures.</w:t>
      </w:r>
    </w:p>
    <w:p w:rsidR="00FA599C" w:rsidRPr="00FA599C" w:rsidRDefault="00FA599C" w:rsidP="00FA599C">
      <w:pPr>
        <w:numPr>
          <w:ilvl w:val="0"/>
          <w:numId w:val="1"/>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lastRenderedPageBreak/>
        <w:t>Provide oversight and guidance on utilization of U.S. Customs Reconciliation Program (Flagging entries, corrections, and follow-up documents).</w:t>
      </w:r>
    </w:p>
    <w:p w:rsidR="00FA599C" w:rsidRPr="00FA599C" w:rsidRDefault="00FA599C" w:rsidP="00FA599C">
      <w:pPr>
        <w:numPr>
          <w:ilvl w:val="0"/>
          <w:numId w:val="1"/>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t>Provide and review proper classification of imported goods using business knowledge, outside counsel/consultant expertise, business personnel, and assistance of technical personnel.</w:t>
      </w:r>
    </w:p>
    <w:p w:rsidR="00FA599C" w:rsidRPr="00FA599C" w:rsidRDefault="00FA599C" w:rsidP="00FA599C">
      <w:pPr>
        <w:numPr>
          <w:ilvl w:val="0"/>
          <w:numId w:val="1"/>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t>Cross train on Import Regulations and assist with Compliance functions as necessary</w:t>
      </w:r>
    </w:p>
    <w:p w:rsidR="00FA599C" w:rsidRPr="00FA599C" w:rsidRDefault="00FA599C" w:rsidP="00FA599C">
      <w:pPr>
        <w:shd w:val="clear" w:color="auto" w:fill="FDFDFD"/>
        <w:spacing w:before="100" w:beforeAutospacing="1" w:after="100" w:afterAutospacing="1" w:line="240" w:lineRule="auto"/>
        <w:rPr>
          <w:rFonts w:ascii="Arial" w:eastAsia="Times New Roman" w:hAnsi="Arial" w:cs="Arial"/>
          <w:color w:val="000000"/>
          <w:sz w:val="18"/>
          <w:szCs w:val="18"/>
        </w:rPr>
      </w:pPr>
      <w:r w:rsidRPr="00FA599C">
        <w:rPr>
          <w:rFonts w:ascii="Arial" w:eastAsia="Times New Roman" w:hAnsi="Arial" w:cs="Arial"/>
          <w:b/>
          <w:bCs/>
          <w:color w:val="000000"/>
          <w:sz w:val="18"/>
          <w:szCs w:val="18"/>
        </w:rPr>
        <w:t>EDUCATION/EXPERIENCE REQUIREMENTS:</w:t>
      </w:r>
    </w:p>
    <w:p w:rsidR="00FA599C" w:rsidRPr="00FA599C" w:rsidRDefault="00FA599C" w:rsidP="00FA599C">
      <w:pPr>
        <w:numPr>
          <w:ilvl w:val="0"/>
          <w:numId w:val="2"/>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t>Bachelor’s Degree in Business preferred</w:t>
      </w:r>
    </w:p>
    <w:p w:rsidR="00FA599C" w:rsidRPr="00FA599C" w:rsidRDefault="00FA599C" w:rsidP="00FA599C">
      <w:pPr>
        <w:numPr>
          <w:ilvl w:val="0"/>
          <w:numId w:val="2"/>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t>5+ years of experience within an import and/or export environment with experience in the area of import and/or export controls.</w:t>
      </w:r>
    </w:p>
    <w:p w:rsidR="00FA599C" w:rsidRPr="00FA599C" w:rsidRDefault="00FA599C" w:rsidP="00FA599C">
      <w:pPr>
        <w:numPr>
          <w:ilvl w:val="0"/>
          <w:numId w:val="2"/>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t xml:space="preserve">Familiarization with Foreign Trade Zone (FTZ) regulations, </w:t>
      </w:r>
      <w:proofErr w:type="spellStart"/>
      <w:r w:rsidRPr="00FA599C">
        <w:rPr>
          <w:rFonts w:ascii="Arial" w:eastAsia="Times New Roman" w:hAnsi="Arial" w:cs="Arial"/>
          <w:color w:val="000000"/>
          <w:sz w:val="18"/>
          <w:szCs w:val="18"/>
        </w:rPr>
        <w:t>U.S.Customs</w:t>
      </w:r>
      <w:proofErr w:type="spellEnd"/>
      <w:r w:rsidRPr="00FA599C">
        <w:rPr>
          <w:rFonts w:ascii="Arial" w:eastAsia="Times New Roman" w:hAnsi="Arial" w:cs="Arial"/>
          <w:color w:val="000000"/>
          <w:sz w:val="18"/>
          <w:szCs w:val="18"/>
        </w:rPr>
        <w:t xml:space="preserve"> regulations, Export Administration Regulations (including EAR &amp; ITAR, Harmonized Tariff Schedule (HTS) classifications is required.</w:t>
      </w:r>
    </w:p>
    <w:p w:rsidR="00FA599C" w:rsidRPr="00FA599C" w:rsidRDefault="00FA599C" w:rsidP="00FA599C">
      <w:pPr>
        <w:numPr>
          <w:ilvl w:val="0"/>
          <w:numId w:val="2"/>
        </w:num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color w:val="000000"/>
          <w:sz w:val="18"/>
          <w:szCs w:val="18"/>
        </w:rPr>
        <w:t>Excel (Intermediate + Level), Word, and PowerPoint. Knowledge of Automated Commercial Environment (ACE) and SAP experience preferred.</w:t>
      </w:r>
    </w:p>
    <w:p w:rsidR="00FA599C" w:rsidRPr="00FA599C" w:rsidRDefault="00FA599C" w:rsidP="00FA599C">
      <w:pPr>
        <w:shd w:val="clear" w:color="auto" w:fill="FDFDFD"/>
        <w:spacing w:before="100" w:beforeAutospacing="1" w:after="100" w:afterAutospacing="1" w:line="240" w:lineRule="auto"/>
        <w:ind w:left="360"/>
        <w:rPr>
          <w:rFonts w:ascii="Arial" w:eastAsia="Times New Roman" w:hAnsi="Arial" w:cs="Arial"/>
          <w:color w:val="000000"/>
          <w:sz w:val="18"/>
          <w:szCs w:val="18"/>
        </w:rPr>
      </w:pPr>
      <w:r w:rsidRPr="00FA599C">
        <w:rPr>
          <w:rFonts w:ascii="Arial" w:eastAsia="Times New Roman" w:hAnsi="Arial" w:cs="Arial"/>
          <w:color w:val="000000"/>
          <w:sz w:val="18"/>
          <w:szCs w:val="18"/>
        </w:rPr>
        <w:t>Total Petrochemicals &amp; Refining USA, Inc. is an Equal Opportunity/Affirmative Action employer. All qualified applicants will receive consideration for employment without regard to race, color, religion, sex, national origin, disability, or protected Veteran status.</w: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b/>
          <w:bCs/>
          <w:color w:val="000000"/>
          <w:sz w:val="32"/>
          <w:szCs w:val="32"/>
        </w:rPr>
        <w:t> </w: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b/>
          <w:bCs/>
          <w:color w:val="000000"/>
          <w:sz w:val="32"/>
          <w:szCs w:val="32"/>
          <w:u w:val="single"/>
        </w:rPr>
        <w:t>Contact Information to Apply</w:t>
      </w:r>
    </w:p>
    <w:p w:rsidR="00FA599C" w:rsidRPr="00FA599C" w:rsidRDefault="00FA599C" w:rsidP="00FA599C">
      <w:pPr>
        <w:shd w:val="clear" w:color="auto" w:fill="FDFDFD"/>
        <w:spacing w:after="0" w:line="240" w:lineRule="auto"/>
        <w:rPr>
          <w:rFonts w:ascii="Calibri" w:eastAsia="Times New Roman" w:hAnsi="Calibri" w:cs="Times New Roman"/>
          <w:color w:val="000000"/>
        </w:rPr>
      </w:pPr>
      <w:hyperlink r:id="rId5" w:tgtFrame="_blank" w:history="1">
        <w:r w:rsidRPr="00FA599C">
          <w:rPr>
            <w:rFonts w:ascii="Calibri" w:eastAsia="Times New Roman" w:hAnsi="Calibri" w:cs="Times New Roman"/>
            <w:b/>
            <w:bCs/>
            <w:color w:val="336699"/>
            <w:sz w:val="32"/>
            <w:szCs w:val="32"/>
          </w:rPr>
          <w:t>www.usa.total.com</w:t>
        </w:r>
      </w:hyperlink>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b/>
          <w:bCs/>
          <w:color w:val="000000"/>
          <w:sz w:val="32"/>
          <w:szCs w:val="32"/>
        </w:rPr>
        <w:t> </w: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color w:val="000000"/>
        </w:rPr>
        <w:t> </w: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color w:val="000000"/>
        </w:rPr>
        <w:t> </w:t>
      </w:r>
    </w:p>
    <w:tbl>
      <w:tblPr>
        <w:tblW w:w="7668" w:type="dxa"/>
        <w:shd w:val="clear" w:color="auto" w:fill="FDFDFD"/>
        <w:tblCellMar>
          <w:left w:w="0" w:type="dxa"/>
          <w:right w:w="0" w:type="dxa"/>
        </w:tblCellMar>
        <w:tblLook w:val="04A0" w:firstRow="1" w:lastRow="0" w:firstColumn="1" w:lastColumn="0" w:noHBand="0" w:noVBand="1"/>
      </w:tblPr>
      <w:tblGrid>
        <w:gridCol w:w="3834"/>
        <w:gridCol w:w="3834"/>
      </w:tblGrid>
      <w:tr w:rsidR="00FA599C" w:rsidRPr="00FA599C" w:rsidTr="00FA599C">
        <w:tc>
          <w:tcPr>
            <w:tcW w:w="3834" w:type="dxa"/>
            <w:tcBorders>
              <w:top w:val="nil"/>
              <w:left w:val="nil"/>
              <w:bottom w:val="nil"/>
              <w:right w:val="single" w:sz="8" w:space="0" w:color="C00000"/>
            </w:tcBorders>
            <w:shd w:val="clear" w:color="auto" w:fill="FDFDFD"/>
            <w:tcMar>
              <w:top w:w="0" w:type="dxa"/>
              <w:left w:w="108" w:type="dxa"/>
              <w:bottom w:w="0" w:type="dxa"/>
              <w:right w:w="108" w:type="dxa"/>
            </w:tcMar>
            <w:vAlign w:val="bottom"/>
            <w:hideMark/>
          </w:tcPr>
          <w:p w:rsidR="00FA599C" w:rsidRPr="00FA599C" w:rsidRDefault="00FA599C" w:rsidP="00FA599C">
            <w:pPr>
              <w:spacing w:after="240" w:line="240" w:lineRule="auto"/>
              <w:rPr>
                <w:rFonts w:ascii="Calibri" w:eastAsia="Times New Roman" w:hAnsi="Calibri" w:cs="Times New Roman"/>
              </w:rPr>
            </w:pPr>
            <w:r w:rsidRPr="00FA599C">
              <w:rPr>
                <w:rFonts w:ascii="Arial" w:eastAsia="Times New Roman" w:hAnsi="Arial" w:cs="Arial"/>
                <w:b/>
                <w:bCs/>
                <w:color w:val="262626"/>
                <w:sz w:val="18"/>
                <w:szCs w:val="18"/>
              </w:rPr>
              <w:t>Regards,</w: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b/>
                <w:bCs/>
                <w:color w:val="262626"/>
                <w:sz w:val="18"/>
                <w:szCs w:val="18"/>
              </w:rPr>
              <w:t xml:space="preserve">Danita </w:t>
            </w:r>
            <w:proofErr w:type="spellStart"/>
            <w:r w:rsidRPr="00FA599C">
              <w:rPr>
                <w:rFonts w:ascii="Arial" w:eastAsia="Times New Roman" w:hAnsi="Arial" w:cs="Arial"/>
                <w:b/>
                <w:bCs/>
                <w:color w:val="262626"/>
                <w:sz w:val="18"/>
                <w:szCs w:val="18"/>
              </w:rPr>
              <w:t>Streight</w:t>
            </w:r>
            <w:proofErr w:type="spellEnd"/>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color w:val="262626"/>
                <w:sz w:val="18"/>
                <w:szCs w:val="18"/>
              </w:rPr>
              <w:t>Sr. Human Resources Analyst</w: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b/>
                <w:bCs/>
                <w:color w:val="262626"/>
                <w:sz w:val="16"/>
                <w:szCs w:val="16"/>
              </w:rPr>
              <w:t> </w: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b/>
                <w:bCs/>
                <w:color w:val="262626"/>
                <w:sz w:val="18"/>
                <w:szCs w:val="18"/>
              </w:rPr>
              <w:t>REFINING &amp; CHEMICALS</w: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color w:val="262626"/>
                <w:sz w:val="16"/>
                <w:szCs w:val="16"/>
              </w:rPr>
              <w:t> </w: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color w:val="262626"/>
                <w:sz w:val="18"/>
                <w:szCs w:val="18"/>
              </w:rPr>
              <w:t>HR Services</w: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color w:val="262626"/>
                <w:sz w:val="18"/>
                <w:szCs w:val="18"/>
              </w:rPr>
              <w:t> </w: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color w:val="262626"/>
                <w:sz w:val="18"/>
                <w:szCs w:val="18"/>
              </w:rPr>
              <w:t>Tel:  713-483-5458</w: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color w:val="262626"/>
                <w:sz w:val="18"/>
                <w:szCs w:val="18"/>
                <w:lang w:val="fr-FR"/>
              </w:rPr>
              <w:t>Fax: 713-483-5429</w:t>
            </w:r>
          </w:p>
          <w:p w:rsidR="00FA599C" w:rsidRPr="00FA599C" w:rsidRDefault="00FA599C" w:rsidP="00FA599C">
            <w:pPr>
              <w:spacing w:after="0" w:line="240" w:lineRule="auto"/>
              <w:rPr>
                <w:rFonts w:ascii="Calibri" w:eastAsia="Times New Roman" w:hAnsi="Calibri" w:cs="Times New Roman"/>
              </w:rPr>
            </w:pPr>
            <w:hyperlink r:id="rId6" w:history="1">
              <w:r w:rsidRPr="00FA599C">
                <w:rPr>
                  <w:rFonts w:ascii="Arial" w:eastAsia="Times New Roman" w:hAnsi="Arial" w:cs="Arial"/>
                  <w:color w:val="0000FF"/>
                  <w:sz w:val="18"/>
                  <w:szCs w:val="18"/>
                  <w:lang w:val="fr-FR"/>
                </w:rPr>
                <w:t>danita.streight@total.com</w:t>
              </w:r>
            </w:hyperlink>
          </w:p>
        </w:tc>
        <w:tc>
          <w:tcPr>
            <w:tcW w:w="3834" w:type="dxa"/>
            <w:shd w:val="clear" w:color="auto" w:fill="FDFDFD"/>
            <w:tcMar>
              <w:top w:w="0" w:type="dxa"/>
              <w:left w:w="108" w:type="dxa"/>
              <w:bottom w:w="0" w:type="dxa"/>
              <w:right w:w="108" w:type="dxa"/>
            </w:tcMar>
            <w:vAlign w:val="bottom"/>
            <w:hideMark/>
          </w:tcPr>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noProof/>
                <w:color w:val="1F497D"/>
                <w:sz w:val="24"/>
                <w:szCs w:val="24"/>
              </w:rPr>
              <mc:AlternateContent>
                <mc:Choice Requires="wps">
                  <w:drawing>
                    <wp:inline distT="0" distB="0" distL="0" distR="0">
                      <wp:extent cx="1905000" cy="630555"/>
                      <wp:effectExtent l="0" t="0" r="0" b="0"/>
                      <wp:docPr id="1" name="Rectangle 1" descr="cid:image003.jpg@01CF4461.9F0AB7F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B9895E" id="Rectangle 1" o:spid="_x0000_s1026" alt="cid:image003.jpg@01CF4461.9F0AB7F0" style="width:150pt;height: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" filled="f" stroked="f">
                      <o:lock v:ext="edit" aspectratio="t"/>
                      <w10:anchorlock/>
                    </v:rect>
                  </w:pict>
                </mc:Fallback>
              </mc:AlternateConten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b/>
                <w:bCs/>
                <w:color w:val="7F7F7F"/>
                <w:sz w:val="16"/>
                <w:szCs w:val="16"/>
              </w:rPr>
              <w:t> </w: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b/>
                <w:bCs/>
                <w:color w:val="262626"/>
                <w:sz w:val="16"/>
                <w:szCs w:val="16"/>
                <w:lang w:val="es-ES"/>
              </w:rPr>
              <w:t xml:space="preserve">Total </w:t>
            </w:r>
            <w:proofErr w:type="spellStart"/>
            <w:r w:rsidRPr="00FA599C">
              <w:rPr>
                <w:rFonts w:ascii="Arial" w:eastAsia="Times New Roman" w:hAnsi="Arial" w:cs="Arial"/>
                <w:b/>
                <w:bCs/>
                <w:color w:val="262626"/>
                <w:sz w:val="16"/>
                <w:szCs w:val="16"/>
                <w:lang w:val="es-ES"/>
              </w:rPr>
              <w:t>Petrochemicals</w:t>
            </w:r>
            <w:proofErr w:type="spellEnd"/>
            <w:r w:rsidRPr="00FA599C">
              <w:rPr>
                <w:rFonts w:ascii="Arial" w:eastAsia="Times New Roman" w:hAnsi="Arial" w:cs="Arial"/>
                <w:b/>
                <w:bCs/>
                <w:color w:val="262626"/>
                <w:sz w:val="16"/>
                <w:szCs w:val="16"/>
                <w:lang w:val="es-ES"/>
              </w:rPr>
              <w:t xml:space="preserve"> &amp; </w:t>
            </w:r>
            <w:proofErr w:type="spellStart"/>
            <w:r w:rsidRPr="00FA599C">
              <w:rPr>
                <w:rFonts w:ascii="Arial" w:eastAsia="Times New Roman" w:hAnsi="Arial" w:cs="Arial"/>
                <w:b/>
                <w:bCs/>
                <w:color w:val="262626"/>
                <w:sz w:val="16"/>
                <w:szCs w:val="16"/>
                <w:lang w:val="es-ES"/>
              </w:rPr>
              <w:t>Refining</w:t>
            </w:r>
            <w:proofErr w:type="spellEnd"/>
            <w:r w:rsidRPr="00FA599C">
              <w:rPr>
                <w:rFonts w:ascii="Arial" w:eastAsia="Times New Roman" w:hAnsi="Arial" w:cs="Arial"/>
                <w:b/>
                <w:bCs/>
                <w:color w:val="262626"/>
                <w:sz w:val="16"/>
                <w:szCs w:val="16"/>
                <w:lang w:val="es-ES"/>
              </w:rPr>
              <w:t xml:space="preserve"> USA, Inc.</w: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color w:val="262626"/>
                <w:sz w:val="16"/>
                <w:szCs w:val="16"/>
              </w:rPr>
              <w:t>1201 Louisiana Street, Suite 1800</w: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color w:val="262626"/>
                <w:sz w:val="16"/>
                <w:szCs w:val="16"/>
              </w:rPr>
              <w:t>Houston, TX 77002, USA</w: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color w:val="262626"/>
                <w:sz w:val="14"/>
                <w:szCs w:val="14"/>
              </w:rPr>
              <w:t> </w:t>
            </w:r>
          </w:p>
          <w:p w:rsidR="00FA599C" w:rsidRPr="00FA599C" w:rsidRDefault="00FA599C" w:rsidP="00FA599C">
            <w:pPr>
              <w:spacing w:after="0" w:line="240" w:lineRule="auto"/>
              <w:rPr>
                <w:rFonts w:ascii="Calibri" w:eastAsia="Times New Roman" w:hAnsi="Calibri" w:cs="Times New Roman"/>
              </w:rPr>
            </w:pPr>
            <w:r w:rsidRPr="00FA599C">
              <w:rPr>
                <w:rFonts w:ascii="Arial" w:eastAsia="Times New Roman" w:hAnsi="Arial" w:cs="Arial"/>
                <w:color w:val="7F7F7F"/>
                <w:sz w:val="14"/>
                <w:szCs w:val="14"/>
              </w:rPr>
              <w:t> </w:t>
            </w:r>
          </w:p>
          <w:p w:rsidR="00FA599C" w:rsidRPr="00FA599C" w:rsidRDefault="00FA599C" w:rsidP="00FA599C">
            <w:pPr>
              <w:spacing w:after="0" w:line="240" w:lineRule="auto"/>
              <w:rPr>
                <w:rFonts w:ascii="Calibri" w:eastAsia="Times New Roman" w:hAnsi="Calibri" w:cs="Times New Roman"/>
              </w:rPr>
            </w:pPr>
            <w:hyperlink r:id="rId7" w:tgtFrame="_blank" w:history="1">
              <w:r w:rsidRPr="00FA599C">
                <w:rPr>
                  <w:rFonts w:ascii="Arial" w:eastAsia="Times New Roman" w:hAnsi="Arial" w:cs="Arial"/>
                  <w:color w:val="0000FF"/>
                  <w:sz w:val="16"/>
                  <w:szCs w:val="16"/>
                </w:rPr>
                <w:t>www.usa.total.com</w:t>
              </w:r>
            </w:hyperlink>
          </w:p>
        </w:tc>
      </w:tr>
    </w:tbl>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color w:val="000000"/>
        </w:rPr>
        <w:t> </w: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color w:val="000000"/>
        </w:rPr>
        <w:t> </w: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Arial" w:eastAsia="Times New Roman" w:hAnsi="Arial" w:cs="Arial"/>
          <w:i/>
          <w:iCs/>
          <w:color w:val="404040"/>
          <w:sz w:val="15"/>
          <w:szCs w:val="15"/>
        </w:rPr>
        <w:t>CONFIDENTIALITY. This email (including any attachments) contains information which may be confidential and privileged. It may not be used other than for the purpose for which it has been sent. If you are not the intended recipient, please delete it and notify the sender immediately.</w: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color w:val="000000"/>
        </w:rPr>
        <w:t> </w:t>
      </w:r>
    </w:p>
    <w:p w:rsidR="00FA599C" w:rsidRPr="00FA599C" w:rsidRDefault="00FA599C" w:rsidP="00FA599C">
      <w:pPr>
        <w:shd w:val="clear" w:color="auto" w:fill="FDFDFD"/>
        <w:spacing w:after="0" w:line="240" w:lineRule="auto"/>
        <w:rPr>
          <w:rFonts w:ascii="Calibri" w:eastAsia="Times New Roman" w:hAnsi="Calibri" w:cs="Times New Roman"/>
          <w:color w:val="000000"/>
        </w:rPr>
      </w:pPr>
      <w:r w:rsidRPr="00FA599C">
        <w:rPr>
          <w:rFonts w:ascii="Calibri" w:eastAsia="Times New Roman" w:hAnsi="Calibri" w:cs="Times New Roman"/>
          <w:color w:val="000000"/>
        </w:rPr>
        <w:t> </w:t>
      </w:r>
    </w:p>
    <w:p w:rsidR="0080161F" w:rsidRDefault="0080161F"/>
    <w:sectPr w:rsidR="00801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330435"/>
    <w:multiLevelType w:val="multilevel"/>
    <w:tmpl w:val="3BDE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7D506AA"/>
    <w:multiLevelType w:val="multilevel"/>
    <w:tmpl w:val="9D02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99C"/>
    <w:rsid w:val="00082FAC"/>
    <w:rsid w:val="00102AD7"/>
    <w:rsid w:val="00141A31"/>
    <w:rsid w:val="00191AEB"/>
    <w:rsid w:val="002866B6"/>
    <w:rsid w:val="002A12C9"/>
    <w:rsid w:val="002D1E3B"/>
    <w:rsid w:val="002D2FF0"/>
    <w:rsid w:val="00305655"/>
    <w:rsid w:val="003F218C"/>
    <w:rsid w:val="003F6F50"/>
    <w:rsid w:val="00402EDF"/>
    <w:rsid w:val="00405782"/>
    <w:rsid w:val="00425EBA"/>
    <w:rsid w:val="004423E2"/>
    <w:rsid w:val="004A20E9"/>
    <w:rsid w:val="004B7FA0"/>
    <w:rsid w:val="00556150"/>
    <w:rsid w:val="005A558F"/>
    <w:rsid w:val="005C10FB"/>
    <w:rsid w:val="005F79B6"/>
    <w:rsid w:val="006176F8"/>
    <w:rsid w:val="00617AE4"/>
    <w:rsid w:val="006C3AC4"/>
    <w:rsid w:val="006F246D"/>
    <w:rsid w:val="00701071"/>
    <w:rsid w:val="0080161F"/>
    <w:rsid w:val="008B4186"/>
    <w:rsid w:val="009100ED"/>
    <w:rsid w:val="009871EF"/>
    <w:rsid w:val="009967BA"/>
    <w:rsid w:val="00AE428B"/>
    <w:rsid w:val="00B2672A"/>
    <w:rsid w:val="00B40952"/>
    <w:rsid w:val="00BF5387"/>
    <w:rsid w:val="00C21C64"/>
    <w:rsid w:val="00DC4977"/>
    <w:rsid w:val="00E06B3C"/>
    <w:rsid w:val="00E20352"/>
    <w:rsid w:val="00ED616D"/>
    <w:rsid w:val="00EE17A9"/>
    <w:rsid w:val="00EF447E"/>
    <w:rsid w:val="00F1658E"/>
    <w:rsid w:val="00F4180A"/>
    <w:rsid w:val="00F7180F"/>
    <w:rsid w:val="00FA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7D8B8-13D0-4DF1-A392-65079A3E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9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99C"/>
    <w:rPr>
      <w:b/>
      <w:bCs/>
    </w:rPr>
  </w:style>
  <w:style w:type="character" w:styleId="Hyperlink">
    <w:name w:val="Hyperlink"/>
    <w:basedOn w:val="DefaultParagraphFont"/>
    <w:uiPriority w:val="99"/>
    <w:semiHidden/>
    <w:unhideWhenUsed/>
    <w:rsid w:val="00FA5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16385">
      <w:bodyDiv w:val="1"/>
      <w:marLeft w:val="0"/>
      <w:marRight w:val="0"/>
      <w:marTop w:val="0"/>
      <w:marBottom w:val="0"/>
      <w:divBdr>
        <w:top w:val="none" w:sz="0" w:space="0" w:color="auto"/>
        <w:left w:val="none" w:sz="0" w:space="0" w:color="auto"/>
        <w:bottom w:val="none" w:sz="0" w:space="0" w:color="auto"/>
        <w:right w:val="none" w:sz="0" w:space="0" w:color="auto"/>
      </w:divBdr>
    </w:div>
    <w:div w:id="71323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a.tot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window.top.ZmObjectManager.__doClickObject(document.getElementById(%22OBJ_PREFIX_DWT5107_com_zimbra_email%22));" TargetMode="External"/><Relationship Id="rId5" Type="http://schemas.openxmlformats.org/officeDocument/2006/relationships/hyperlink" Target="http://www.usa.tota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jeburks@comcast.net</dc:creator>
  <cp:keywords/>
  <dc:description/>
  <cp:lastModifiedBy>jeburks@comcast.net</cp:lastModifiedBy>
  <cp:revision>1</cp:revision>
  <dcterms:created xsi:type="dcterms:W3CDTF">2014-10-21T22:38:00Z</dcterms:created>
  <dcterms:modified xsi:type="dcterms:W3CDTF">2014-10-21T22:40:00Z</dcterms:modified>
</cp:coreProperties>
</file>