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44D5A" w:rsidRPr="00D040A7" w:rsidRDefault="00D040A7" w:rsidP="00D040A7">
      <w:pPr>
        <w:pStyle w:val="Default"/>
        <w:spacing w:after="200"/>
        <w:rPr>
          <w:rFonts w:ascii="Arial" w:eastAsiaTheme="minorEastAsia" w:hAnsi="Arial" w:cs="Arial"/>
          <w:b/>
          <w:bCs/>
          <w:noProof/>
          <w:sz w:val="20"/>
          <w:szCs w:val="20"/>
        </w:rPr>
      </w:pPr>
      <w:r w:rsidRPr="00D040A7">
        <w:rPr>
          <w:rFonts w:ascii="Arial" w:eastAsiaTheme="minorEastAsia" w:hAnsi="Arial" w:cs="Arial"/>
          <w:b/>
          <w:bCs/>
          <w:noProof/>
          <w:sz w:val="20"/>
          <w:szCs w:val="20"/>
        </w:rPr>
        <w:t>Forced Labor</w:t>
      </w:r>
    </w:p>
    <w:p w:rsidR="00D040A7" w:rsidRPr="00D040A7" w:rsidRDefault="00D040A7" w:rsidP="00D040A7">
      <w:pPr>
        <w:pStyle w:val="Default"/>
        <w:spacing w:after="200"/>
        <w:rPr>
          <w:rFonts w:ascii="Arial" w:eastAsiaTheme="minorEastAsia" w:hAnsi="Arial" w:cs="Arial"/>
          <w:bCs/>
          <w:noProof/>
          <w:sz w:val="20"/>
          <w:szCs w:val="20"/>
        </w:rPr>
      </w:pPr>
      <w:r w:rsidRPr="00D040A7">
        <w:rPr>
          <w:rFonts w:ascii="Arial" w:eastAsiaTheme="minorEastAsia" w:hAnsi="Arial" w:cs="Arial"/>
          <w:bCs/>
          <w:noProof/>
          <w:sz w:val="20"/>
          <w:szCs w:val="20"/>
        </w:rPr>
        <w:t xml:space="preserve">Supplier will not use forced labor, as defined by U.S. Section 307 of the Tariff Act of 1930 (19 U.S.C. § 1307), in the manufacture or supply of any materials or services for </w:t>
      </w:r>
      <w:r>
        <w:rPr>
          <w:rFonts w:ascii="Arial" w:eastAsiaTheme="minorEastAsia" w:hAnsi="Arial" w:cs="Arial"/>
          <w:bCs/>
          <w:noProof/>
          <w:sz w:val="20"/>
          <w:szCs w:val="20"/>
        </w:rPr>
        <w:t>COMPANY</w:t>
      </w:r>
      <w:r w:rsidRPr="00D040A7">
        <w:rPr>
          <w:rFonts w:ascii="Arial" w:eastAsiaTheme="minorEastAsia" w:hAnsi="Arial" w:cs="Arial"/>
          <w:bCs/>
          <w:noProof/>
          <w:sz w:val="20"/>
          <w:szCs w:val="20"/>
        </w:rPr>
        <w:t xml:space="preserve">. Supplier will not use labor of any North Korean nationals or citizens in the manufacture or supply of any materials or services for </w:t>
      </w:r>
      <w:r>
        <w:rPr>
          <w:rFonts w:ascii="Arial" w:eastAsiaTheme="minorEastAsia" w:hAnsi="Arial" w:cs="Arial"/>
          <w:bCs/>
          <w:noProof/>
          <w:sz w:val="20"/>
          <w:szCs w:val="20"/>
        </w:rPr>
        <w:t>COMPANY</w:t>
      </w:r>
      <w:r w:rsidRPr="00D040A7">
        <w:rPr>
          <w:rFonts w:ascii="Arial" w:eastAsiaTheme="minorEastAsia" w:hAnsi="Arial" w:cs="Arial"/>
          <w:bCs/>
          <w:noProof/>
          <w:sz w:val="20"/>
          <w:szCs w:val="20"/>
        </w:rPr>
        <w:t xml:space="preserve">. Supplier will comply with all forced labor provisions in U.S. Section 307 of the Tariff Act of 1930 (19 U.S.C. § 1307) and Trade Facilitation and Enforcement Act of 2015 (TFTEA). Additional information is available at </w:t>
      </w:r>
      <w:hyperlink r:id="rId5" w:history="1">
        <w:r w:rsidRPr="00D040A7">
          <w:rPr>
            <w:rFonts w:ascii="Arial" w:eastAsiaTheme="minorEastAsia" w:hAnsi="Arial" w:cs="Arial"/>
            <w:bCs/>
            <w:noProof/>
            <w:color w:val="0070C0"/>
            <w:sz w:val="20"/>
            <w:szCs w:val="20"/>
            <w:u w:val="single"/>
          </w:rPr>
          <w:t>https://www.cbp.gov/trade/trade-community/programs-outreach/convict-importations</w:t>
        </w:r>
      </w:hyperlink>
      <w:r w:rsidRPr="00D040A7">
        <w:rPr>
          <w:rFonts w:ascii="Arial" w:eastAsiaTheme="minorEastAsia" w:hAnsi="Arial" w:cs="Arial"/>
          <w:bCs/>
          <w:noProof/>
          <w:sz w:val="20"/>
          <w:szCs w:val="20"/>
        </w:rPr>
        <w:t>.</w:t>
      </w:r>
    </w:p>
    <w:p w:rsidR="00D040A7" w:rsidRPr="009A1F19" w:rsidRDefault="00D040A7" w:rsidP="00D040A7">
      <w:pPr>
        <w:pStyle w:val="Default"/>
        <w:spacing w:after="200"/>
        <w:rPr>
          <w:rFonts w:ascii="Arial" w:eastAsiaTheme="minorEastAsia" w:hAnsi="Arial" w:cs="Arial"/>
          <w:bCs/>
          <w:noProof/>
          <w:sz w:val="20"/>
          <w:szCs w:val="20"/>
        </w:rPr>
      </w:pPr>
      <w:r w:rsidRPr="00CA0610">
        <w:rPr>
          <w:rFonts w:ascii="Arial" w:eastAsiaTheme="minorEastAsia" w:hAnsi="Arial" w:cs="Arial"/>
          <w:b/>
          <w:bCs/>
          <w:noProof/>
          <w:sz w:val="20"/>
          <w:szCs w:val="20"/>
        </w:rPr>
        <w:t>Country of Origin Labeling:</w:t>
      </w:r>
      <w:r w:rsidRPr="009A1F19">
        <w:rPr>
          <w:rFonts w:ascii="Arial" w:eastAsiaTheme="minorEastAsia" w:hAnsi="Arial" w:cs="Arial"/>
          <w:bCs/>
          <w:noProof/>
          <w:sz w:val="20"/>
          <w:szCs w:val="20"/>
        </w:rPr>
        <w:t xml:space="preserve"> Supplier shall provide </w:t>
      </w:r>
      <w:r>
        <w:rPr>
          <w:rFonts w:ascii="Arial" w:eastAsiaTheme="minorEastAsia" w:hAnsi="Arial" w:cs="Arial"/>
          <w:bCs/>
          <w:noProof/>
          <w:sz w:val="20"/>
          <w:szCs w:val="20"/>
        </w:rPr>
        <w:t>COMPANY</w:t>
      </w:r>
      <w:r w:rsidRPr="009A1F19">
        <w:rPr>
          <w:rFonts w:ascii="Arial" w:eastAsiaTheme="minorEastAsia" w:hAnsi="Arial" w:cs="Arial"/>
          <w:bCs/>
          <w:noProof/>
          <w:sz w:val="20"/>
          <w:szCs w:val="20"/>
        </w:rPr>
        <w:t xml:space="preserve"> Corporation with accurate Country of Origin information for all Goods supplied to </w:t>
      </w:r>
      <w:r>
        <w:rPr>
          <w:rFonts w:ascii="Arial" w:eastAsiaTheme="minorEastAsia" w:hAnsi="Arial" w:cs="Arial"/>
          <w:bCs/>
          <w:noProof/>
          <w:sz w:val="20"/>
          <w:szCs w:val="20"/>
        </w:rPr>
        <w:t>COMPANY</w:t>
      </w:r>
      <w:r w:rsidRPr="009A1F19">
        <w:rPr>
          <w:rFonts w:ascii="Arial" w:eastAsiaTheme="minorEastAsia" w:hAnsi="Arial" w:cs="Arial"/>
          <w:bCs/>
          <w:noProof/>
          <w:sz w:val="20"/>
          <w:szCs w:val="20"/>
        </w:rPr>
        <w:t xml:space="preserve">. All Goods must be permanently labeled with country of origin according to international import labeling requirement. </w:t>
      </w:r>
      <w:r>
        <w:rPr>
          <w:rFonts w:ascii="Arial" w:eastAsiaTheme="minorEastAsia" w:hAnsi="Arial" w:cs="Arial"/>
          <w:bCs/>
          <w:noProof/>
          <w:sz w:val="20"/>
          <w:szCs w:val="20"/>
        </w:rPr>
        <w:t xml:space="preserve">U.S. regulatory reference: 19 CFR 134 – Country of Origin Marking. </w:t>
      </w:r>
      <w:r w:rsidRPr="009A1F19">
        <w:rPr>
          <w:rFonts w:ascii="Arial" w:eastAsiaTheme="minorEastAsia" w:hAnsi="Arial" w:cs="Arial"/>
          <w:bCs/>
          <w:noProof/>
          <w:sz w:val="20"/>
          <w:szCs w:val="20"/>
        </w:rPr>
        <w:t xml:space="preserve">Any fines or penalties issued by Customs against </w:t>
      </w:r>
      <w:r>
        <w:rPr>
          <w:rFonts w:ascii="Arial" w:eastAsiaTheme="minorEastAsia" w:hAnsi="Arial" w:cs="Arial"/>
          <w:bCs/>
          <w:noProof/>
          <w:sz w:val="20"/>
          <w:szCs w:val="20"/>
        </w:rPr>
        <w:t>COMPANY</w:t>
      </w:r>
      <w:r w:rsidRPr="009A1F19">
        <w:rPr>
          <w:rFonts w:ascii="Arial" w:eastAsiaTheme="minorEastAsia" w:hAnsi="Arial" w:cs="Arial"/>
          <w:bCs/>
          <w:noProof/>
          <w:sz w:val="20"/>
          <w:szCs w:val="20"/>
        </w:rPr>
        <w:t xml:space="preserve"> Corporation</w:t>
      </w:r>
      <w:r>
        <w:rPr>
          <w:rFonts w:ascii="Arial" w:eastAsiaTheme="minorEastAsia" w:hAnsi="Arial" w:cs="Arial"/>
          <w:bCs/>
          <w:noProof/>
          <w:sz w:val="20"/>
          <w:szCs w:val="20"/>
        </w:rPr>
        <w:t xml:space="preserve"> or </w:t>
      </w:r>
      <w:r>
        <w:rPr>
          <w:rFonts w:ascii="Arial" w:eastAsiaTheme="minorEastAsia" w:hAnsi="Arial" w:cs="Arial"/>
          <w:bCs/>
          <w:noProof/>
          <w:sz w:val="20"/>
          <w:szCs w:val="20"/>
        </w:rPr>
        <w:t>COMPANY</w:t>
      </w:r>
      <w:r>
        <w:rPr>
          <w:rFonts w:ascii="Arial" w:eastAsiaTheme="minorEastAsia" w:hAnsi="Arial" w:cs="Arial"/>
          <w:bCs/>
          <w:noProof/>
          <w:sz w:val="20"/>
          <w:szCs w:val="20"/>
        </w:rPr>
        <w:t>’s customers</w:t>
      </w:r>
      <w:r w:rsidRPr="009A1F19">
        <w:rPr>
          <w:rFonts w:ascii="Arial" w:eastAsiaTheme="minorEastAsia" w:hAnsi="Arial" w:cs="Arial"/>
          <w:bCs/>
          <w:noProof/>
          <w:sz w:val="20"/>
          <w:szCs w:val="20"/>
        </w:rPr>
        <w:t xml:space="preserve"> due to inaccurate Country of Origin information for Supplier’s Goods will be reimbursed by Supplier.</w:t>
      </w:r>
    </w:p>
    <w:p w:rsidR="00D040A7" w:rsidRPr="009A1F19" w:rsidRDefault="00D040A7" w:rsidP="00D040A7">
      <w:pPr>
        <w:pStyle w:val="Default"/>
        <w:spacing w:after="200"/>
        <w:rPr>
          <w:rFonts w:ascii="Arial" w:hAnsi="Arial" w:cs="Arial"/>
          <w:sz w:val="20"/>
          <w:szCs w:val="20"/>
        </w:rPr>
      </w:pPr>
      <w:r w:rsidRPr="009A1F19">
        <w:rPr>
          <w:rFonts w:ascii="Arial" w:hAnsi="Arial" w:cs="Arial"/>
          <w:b/>
          <w:sz w:val="20"/>
          <w:szCs w:val="20"/>
        </w:rPr>
        <w:t>Supply Chain Security:</w:t>
      </w:r>
      <w:r w:rsidRPr="009A1F19">
        <w:rPr>
          <w:rFonts w:ascii="Arial" w:hAnsi="Arial" w:cs="Arial"/>
          <w:sz w:val="20"/>
          <w:szCs w:val="20"/>
        </w:rPr>
        <w:t xml:space="preserve"> </w:t>
      </w:r>
      <w:r>
        <w:rPr>
          <w:rFonts w:ascii="Arial" w:hAnsi="Arial" w:cs="Arial"/>
          <w:sz w:val="20"/>
          <w:szCs w:val="20"/>
        </w:rPr>
        <w:t>COMPANY</w:t>
      </w:r>
      <w:r w:rsidRPr="009A1F19">
        <w:rPr>
          <w:rFonts w:ascii="Arial" w:hAnsi="Arial" w:cs="Arial"/>
          <w:sz w:val="20"/>
          <w:szCs w:val="20"/>
        </w:rPr>
        <w:t xml:space="preserve"> Corporation is a member of two supply chain security programs: U.S. Customs and Trade Partnership </w:t>
      </w:r>
      <w:proofErr w:type="gramStart"/>
      <w:r w:rsidRPr="009A1F19">
        <w:rPr>
          <w:rFonts w:ascii="Arial" w:hAnsi="Arial" w:cs="Arial"/>
          <w:sz w:val="20"/>
          <w:szCs w:val="20"/>
        </w:rPr>
        <w:t>Against</w:t>
      </w:r>
      <w:proofErr w:type="gramEnd"/>
      <w:r w:rsidRPr="009A1F19">
        <w:rPr>
          <w:rFonts w:ascii="Arial" w:hAnsi="Arial" w:cs="Arial"/>
          <w:sz w:val="20"/>
          <w:szCs w:val="20"/>
        </w:rPr>
        <w:t xml:space="preserve"> Terrorism (CTPAT) and Canada Partners in Protection (PIP). For all Goods supplied to the U.S. and/or Canada, Supplier shall comply with CTPAT supply chain security guidelines. Supplier shall submit to an on-site audit for CTPAT compliance by </w:t>
      </w:r>
      <w:r>
        <w:rPr>
          <w:rFonts w:ascii="Arial" w:hAnsi="Arial" w:cs="Arial"/>
          <w:sz w:val="20"/>
          <w:szCs w:val="20"/>
        </w:rPr>
        <w:t>COMPANY</w:t>
      </w:r>
      <w:r w:rsidRPr="009A1F19">
        <w:rPr>
          <w:rFonts w:ascii="Arial" w:hAnsi="Arial" w:cs="Arial"/>
          <w:sz w:val="20"/>
          <w:szCs w:val="20"/>
        </w:rPr>
        <w:t xml:space="preserve"> and/or U.S. Customs and Border Protection (CBP) personnel. Supplier shall complete annual online assessments for CTPAT compliance and to correct any deficiencies in supply chain security identified by either an online assessment or on-site audit. In the event of a failure to correct deficiencies </w:t>
      </w:r>
      <w:r>
        <w:rPr>
          <w:rFonts w:ascii="Arial" w:hAnsi="Arial" w:cs="Arial"/>
          <w:sz w:val="20"/>
          <w:szCs w:val="20"/>
        </w:rPr>
        <w:t>COMPANY</w:t>
      </w:r>
      <w:r w:rsidRPr="009A1F19">
        <w:rPr>
          <w:rFonts w:ascii="Arial" w:hAnsi="Arial" w:cs="Arial"/>
          <w:sz w:val="20"/>
          <w:szCs w:val="20"/>
        </w:rPr>
        <w:t xml:space="preserve"> reserves a right to terminate this Agreement.</w:t>
      </w:r>
      <w:bookmarkStart w:id="0" w:name="_GoBack"/>
      <w:bookmarkEnd w:id="0"/>
    </w:p>
    <w:p w:rsidR="00D040A7" w:rsidRPr="009A1F19" w:rsidRDefault="00D040A7" w:rsidP="00D040A7">
      <w:pPr>
        <w:pStyle w:val="Default"/>
        <w:spacing w:after="200"/>
        <w:rPr>
          <w:rFonts w:ascii="Arial" w:hAnsi="Arial" w:cs="Arial"/>
          <w:sz w:val="20"/>
          <w:szCs w:val="20"/>
        </w:rPr>
      </w:pPr>
      <w:r w:rsidRPr="009A1F19">
        <w:rPr>
          <w:rFonts w:ascii="Arial" w:hAnsi="Arial" w:cs="Arial"/>
          <w:b/>
          <w:sz w:val="20"/>
          <w:szCs w:val="20"/>
        </w:rPr>
        <w:t>Denied Parties:</w:t>
      </w:r>
      <w:r w:rsidRPr="009A1F19">
        <w:rPr>
          <w:rFonts w:ascii="Arial" w:hAnsi="Arial" w:cs="Arial"/>
          <w:sz w:val="20"/>
          <w:szCs w:val="20"/>
        </w:rPr>
        <w:t xml:space="preserve"> </w:t>
      </w:r>
      <w:r>
        <w:rPr>
          <w:rFonts w:ascii="Arial" w:hAnsi="Arial" w:cs="Arial"/>
          <w:sz w:val="20"/>
          <w:szCs w:val="20"/>
        </w:rPr>
        <w:t>COMPANY</w:t>
      </w:r>
      <w:r w:rsidRPr="009A1F19">
        <w:rPr>
          <w:rFonts w:ascii="Arial" w:hAnsi="Arial" w:cs="Arial"/>
          <w:sz w:val="20"/>
          <w:szCs w:val="20"/>
        </w:rPr>
        <w:t xml:space="preserve"> Corporation reserves a right to terminate this Agreement if Supplier or any of its affiliates appear on any Denied Person/Parties listing maintained by any U.S. Government agency or department.</w:t>
      </w:r>
    </w:p>
    <w:p w:rsidR="00D040A7" w:rsidRDefault="00D040A7" w:rsidP="00D040A7">
      <w:pPr>
        <w:pStyle w:val="Default"/>
        <w:spacing w:after="200"/>
        <w:rPr>
          <w:rFonts w:ascii="Arial" w:hAnsi="Arial" w:cs="Arial"/>
          <w:sz w:val="20"/>
          <w:szCs w:val="20"/>
        </w:rPr>
      </w:pPr>
      <w:r w:rsidRPr="009A1F19">
        <w:rPr>
          <w:rFonts w:ascii="Arial" w:hAnsi="Arial" w:cs="Arial"/>
          <w:b/>
          <w:sz w:val="20"/>
          <w:szCs w:val="20"/>
        </w:rPr>
        <w:t>Export Controls:</w:t>
      </w:r>
      <w:r w:rsidRPr="009A1F19">
        <w:rPr>
          <w:rFonts w:ascii="Arial" w:hAnsi="Arial" w:cs="Arial"/>
          <w:sz w:val="20"/>
          <w:szCs w:val="20"/>
        </w:rPr>
        <w:t xml:space="preserve"> Upon request Supplier must provide </w:t>
      </w:r>
      <w:r>
        <w:rPr>
          <w:rFonts w:ascii="Arial" w:hAnsi="Arial" w:cs="Arial"/>
          <w:sz w:val="20"/>
          <w:szCs w:val="20"/>
        </w:rPr>
        <w:t>COMPANY</w:t>
      </w:r>
      <w:r w:rsidRPr="009A1F19">
        <w:rPr>
          <w:rFonts w:ascii="Arial" w:hAnsi="Arial" w:cs="Arial"/>
          <w:sz w:val="20"/>
          <w:szCs w:val="20"/>
        </w:rPr>
        <w:t xml:space="preserve"> Corporation with information on any export controls applicable to Goods supplied to </w:t>
      </w:r>
      <w:r>
        <w:rPr>
          <w:rFonts w:ascii="Arial" w:hAnsi="Arial" w:cs="Arial"/>
          <w:sz w:val="20"/>
          <w:szCs w:val="20"/>
        </w:rPr>
        <w:t>COMPANY</w:t>
      </w:r>
      <w:r w:rsidRPr="009A1F19">
        <w:rPr>
          <w:rFonts w:ascii="Arial" w:hAnsi="Arial" w:cs="Arial"/>
          <w:sz w:val="20"/>
          <w:szCs w:val="20"/>
        </w:rPr>
        <w:t xml:space="preserve">, including Goods subject to the U.S. Export Administration Regulations (EAR), U.S. International Traffic in Arms Regulations (ITAR), or the </w:t>
      </w:r>
      <w:proofErr w:type="spellStart"/>
      <w:r w:rsidRPr="009A1F19">
        <w:rPr>
          <w:rFonts w:ascii="Arial" w:hAnsi="Arial" w:cs="Arial"/>
          <w:sz w:val="20"/>
          <w:szCs w:val="20"/>
        </w:rPr>
        <w:t>Wassenaar</w:t>
      </w:r>
      <w:proofErr w:type="spellEnd"/>
      <w:r w:rsidRPr="009A1F19">
        <w:rPr>
          <w:rFonts w:ascii="Arial" w:hAnsi="Arial" w:cs="Arial"/>
          <w:sz w:val="20"/>
          <w:szCs w:val="20"/>
        </w:rPr>
        <w:t xml:space="preserve"> Arrangement. Supplier will notify </w:t>
      </w:r>
      <w:r>
        <w:rPr>
          <w:rFonts w:ascii="Arial" w:hAnsi="Arial" w:cs="Arial"/>
          <w:sz w:val="20"/>
          <w:szCs w:val="20"/>
        </w:rPr>
        <w:t>COMPANY</w:t>
      </w:r>
      <w:r w:rsidRPr="009A1F19">
        <w:rPr>
          <w:rFonts w:ascii="Arial" w:hAnsi="Arial" w:cs="Arial"/>
          <w:sz w:val="20"/>
          <w:szCs w:val="20"/>
        </w:rPr>
        <w:t xml:space="preserve"> if any Goods supplied to </w:t>
      </w:r>
      <w:r>
        <w:rPr>
          <w:rFonts w:ascii="Arial" w:hAnsi="Arial" w:cs="Arial"/>
          <w:sz w:val="20"/>
          <w:szCs w:val="20"/>
        </w:rPr>
        <w:t>COMPANY</w:t>
      </w:r>
      <w:r w:rsidRPr="009A1F19">
        <w:rPr>
          <w:rFonts w:ascii="Arial" w:hAnsi="Arial" w:cs="Arial"/>
          <w:sz w:val="20"/>
          <w:szCs w:val="20"/>
        </w:rPr>
        <w:t xml:space="preserve"> are specifically designed for military use.</w:t>
      </w:r>
    </w:p>
    <w:p w:rsidR="00D040A7" w:rsidRPr="00D040A7" w:rsidRDefault="00D040A7" w:rsidP="00D040A7">
      <w:pPr>
        <w:pStyle w:val="Default"/>
        <w:spacing w:after="200"/>
        <w:rPr>
          <w:rFonts w:ascii="Arial" w:hAnsi="Arial" w:cs="Arial"/>
          <w:sz w:val="20"/>
          <w:szCs w:val="20"/>
        </w:rPr>
      </w:pPr>
      <w:r w:rsidRPr="00D040A7">
        <w:rPr>
          <w:rFonts w:ascii="Arial" w:hAnsi="Arial" w:cs="Arial"/>
          <w:sz w:val="20"/>
          <w:szCs w:val="20"/>
        </w:rPr>
        <w:t xml:space="preserve">All Commercial Invoices for </w:t>
      </w:r>
      <w:r>
        <w:rPr>
          <w:rFonts w:ascii="Arial" w:hAnsi="Arial" w:cs="Arial"/>
          <w:sz w:val="20"/>
          <w:szCs w:val="20"/>
        </w:rPr>
        <w:t>COMPANY</w:t>
      </w:r>
      <w:r w:rsidRPr="00D040A7">
        <w:rPr>
          <w:rFonts w:ascii="Arial" w:hAnsi="Arial" w:cs="Arial"/>
          <w:sz w:val="20"/>
          <w:szCs w:val="20"/>
        </w:rPr>
        <w:t xml:space="preserve"> imports must meet the following requirements:</w:t>
      </w:r>
    </w:p>
    <w:p w:rsidR="00D040A7" w:rsidRPr="00224527" w:rsidRDefault="00D040A7" w:rsidP="00D040A7">
      <w:pPr>
        <w:pStyle w:val="Default"/>
        <w:numPr>
          <w:ilvl w:val="3"/>
          <w:numId w:val="1"/>
        </w:numPr>
        <w:spacing w:after="200"/>
        <w:rPr>
          <w:rFonts w:ascii="Arial" w:hAnsi="Arial" w:cs="Arial"/>
          <w:sz w:val="20"/>
          <w:szCs w:val="20"/>
        </w:rPr>
      </w:pPr>
      <w:r w:rsidRPr="00224527">
        <w:rPr>
          <w:rFonts w:ascii="Arial" w:hAnsi="Arial" w:cs="Arial"/>
          <w:sz w:val="20"/>
          <w:szCs w:val="20"/>
        </w:rPr>
        <w:t>Must be in English. If the exporting country requires documents in the local language, then copies of the Commercial Invoice in English and the local language should be provided.</w:t>
      </w:r>
    </w:p>
    <w:p w:rsidR="00D040A7" w:rsidRPr="00224527" w:rsidRDefault="00D040A7" w:rsidP="00D040A7">
      <w:pPr>
        <w:pStyle w:val="Default"/>
        <w:numPr>
          <w:ilvl w:val="3"/>
          <w:numId w:val="1"/>
        </w:numPr>
        <w:spacing w:after="200"/>
        <w:rPr>
          <w:rFonts w:ascii="Arial" w:hAnsi="Arial" w:cs="Arial"/>
          <w:sz w:val="20"/>
          <w:szCs w:val="20"/>
        </w:rPr>
      </w:pPr>
      <w:r w:rsidRPr="00224527">
        <w:rPr>
          <w:rFonts w:ascii="Arial" w:hAnsi="Arial" w:cs="Arial"/>
          <w:sz w:val="20"/>
          <w:szCs w:val="20"/>
        </w:rPr>
        <w:t>A de</w:t>
      </w:r>
      <w:r>
        <w:rPr>
          <w:rFonts w:ascii="Arial" w:hAnsi="Arial" w:cs="Arial"/>
          <w:sz w:val="20"/>
          <w:szCs w:val="20"/>
        </w:rPr>
        <w:t xml:space="preserve">tailed description of the goods, including </w:t>
      </w:r>
      <w:r>
        <w:rPr>
          <w:rFonts w:ascii="Arial" w:hAnsi="Arial" w:cs="Arial"/>
          <w:sz w:val="20"/>
          <w:szCs w:val="20"/>
        </w:rPr>
        <w:t>COMPANY</w:t>
      </w:r>
      <w:r>
        <w:rPr>
          <w:rFonts w:ascii="Arial" w:hAnsi="Arial" w:cs="Arial"/>
          <w:sz w:val="20"/>
          <w:szCs w:val="20"/>
        </w:rPr>
        <w:t>’s part numbers.</w:t>
      </w:r>
    </w:p>
    <w:p w:rsidR="00D040A7" w:rsidRPr="00224527" w:rsidRDefault="00D040A7" w:rsidP="00D040A7">
      <w:pPr>
        <w:pStyle w:val="Default"/>
        <w:numPr>
          <w:ilvl w:val="3"/>
          <w:numId w:val="1"/>
        </w:numPr>
        <w:spacing w:after="200"/>
        <w:rPr>
          <w:rFonts w:ascii="Arial" w:hAnsi="Arial" w:cs="Arial"/>
          <w:sz w:val="20"/>
          <w:szCs w:val="20"/>
        </w:rPr>
      </w:pPr>
      <w:r w:rsidRPr="00224527">
        <w:rPr>
          <w:rFonts w:ascii="Arial" w:hAnsi="Arial" w:cs="Arial"/>
          <w:sz w:val="20"/>
          <w:szCs w:val="20"/>
        </w:rPr>
        <w:t>Quantities of the goods with the Unit of Measure</w:t>
      </w:r>
    </w:p>
    <w:p w:rsidR="00D040A7" w:rsidRPr="00224527" w:rsidRDefault="00D040A7" w:rsidP="00D040A7">
      <w:pPr>
        <w:pStyle w:val="Default"/>
        <w:numPr>
          <w:ilvl w:val="3"/>
          <w:numId w:val="1"/>
        </w:numPr>
        <w:spacing w:after="200"/>
        <w:rPr>
          <w:rFonts w:ascii="Arial" w:hAnsi="Arial" w:cs="Arial"/>
          <w:sz w:val="20"/>
          <w:szCs w:val="20"/>
        </w:rPr>
      </w:pPr>
      <w:r w:rsidRPr="00224527">
        <w:rPr>
          <w:rFonts w:ascii="Arial" w:hAnsi="Arial" w:cs="Arial"/>
          <w:sz w:val="20"/>
          <w:szCs w:val="20"/>
        </w:rPr>
        <w:t>The value of the goods and the currency used, line item value and total value</w:t>
      </w:r>
    </w:p>
    <w:p w:rsidR="00D040A7" w:rsidRPr="00224527" w:rsidRDefault="00D040A7" w:rsidP="00D040A7">
      <w:pPr>
        <w:pStyle w:val="Default"/>
        <w:numPr>
          <w:ilvl w:val="3"/>
          <w:numId w:val="1"/>
        </w:numPr>
        <w:spacing w:after="200"/>
        <w:rPr>
          <w:rFonts w:ascii="Arial" w:hAnsi="Arial" w:cs="Arial"/>
          <w:sz w:val="20"/>
          <w:szCs w:val="20"/>
        </w:rPr>
      </w:pPr>
      <w:r w:rsidRPr="00224527">
        <w:rPr>
          <w:rFonts w:ascii="Arial" w:hAnsi="Arial" w:cs="Arial"/>
          <w:sz w:val="20"/>
          <w:szCs w:val="20"/>
        </w:rPr>
        <w:t>The appropriate classification from the Harmonized Tariff Schedule to six digits</w:t>
      </w:r>
    </w:p>
    <w:p w:rsidR="00D040A7" w:rsidRPr="00224527" w:rsidRDefault="00D040A7" w:rsidP="00D040A7">
      <w:pPr>
        <w:pStyle w:val="Default"/>
        <w:numPr>
          <w:ilvl w:val="3"/>
          <w:numId w:val="1"/>
        </w:numPr>
        <w:spacing w:after="200"/>
        <w:rPr>
          <w:rFonts w:ascii="Arial" w:hAnsi="Arial" w:cs="Arial"/>
          <w:sz w:val="20"/>
          <w:szCs w:val="20"/>
        </w:rPr>
      </w:pPr>
      <w:r w:rsidRPr="00224527">
        <w:rPr>
          <w:rFonts w:ascii="Arial" w:hAnsi="Arial" w:cs="Arial"/>
          <w:sz w:val="20"/>
          <w:szCs w:val="20"/>
        </w:rPr>
        <w:t>The country of origin (country of manufacture) of the merchandise</w:t>
      </w:r>
    </w:p>
    <w:p w:rsidR="00D040A7" w:rsidRPr="00224527" w:rsidRDefault="00D040A7" w:rsidP="00D040A7">
      <w:pPr>
        <w:pStyle w:val="Default"/>
        <w:numPr>
          <w:ilvl w:val="3"/>
          <w:numId w:val="1"/>
        </w:numPr>
        <w:spacing w:after="200"/>
        <w:rPr>
          <w:rFonts w:ascii="Arial" w:hAnsi="Arial" w:cs="Arial"/>
          <w:sz w:val="20"/>
          <w:szCs w:val="20"/>
        </w:rPr>
      </w:pPr>
      <w:r w:rsidRPr="00224527">
        <w:rPr>
          <w:rFonts w:ascii="Arial" w:hAnsi="Arial" w:cs="Arial"/>
          <w:sz w:val="20"/>
          <w:szCs w:val="20"/>
        </w:rPr>
        <w:t>The name and address of the buyer</w:t>
      </w:r>
    </w:p>
    <w:p w:rsidR="00D040A7" w:rsidRPr="00224527" w:rsidRDefault="00D040A7" w:rsidP="00D040A7">
      <w:pPr>
        <w:pStyle w:val="Default"/>
        <w:numPr>
          <w:ilvl w:val="3"/>
          <w:numId w:val="1"/>
        </w:numPr>
        <w:spacing w:after="200"/>
        <w:rPr>
          <w:rFonts w:ascii="Arial" w:hAnsi="Arial" w:cs="Arial"/>
          <w:sz w:val="20"/>
          <w:szCs w:val="20"/>
        </w:rPr>
      </w:pPr>
      <w:r w:rsidRPr="00224527">
        <w:rPr>
          <w:rFonts w:ascii="Arial" w:hAnsi="Arial" w:cs="Arial"/>
          <w:sz w:val="20"/>
          <w:szCs w:val="20"/>
        </w:rPr>
        <w:t>The name and address of the seller</w:t>
      </w:r>
    </w:p>
    <w:p w:rsidR="00D040A7" w:rsidRPr="00224527" w:rsidRDefault="00D040A7" w:rsidP="00D040A7">
      <w:pPr>
        <w:pStyle w:val="Default"/>
        <w:numPr>
          <w:ilvl w:val="3"/>
          <w:numId w:val="1"/>
        </w:numPr>
        <w:spacing w:after="200"/>
        <w:rPr>
          <w:rFonts w:ascii="Arial" w:hAnsi="Arial" w:cs="Arial"/>
          <w:sz w:val="20"/>
          <w:szCs w:val="20"/>
        </w:rPr>
      </w:pPr>
      <w:r w:rsidRPr="00224527">
        <w:rPr>
          <w:rFonts w:ascii="Arial" w:hAnsi="Arial" w:cs="Arial"/>
          <w:sz w:val="20"/>
          <w:szCs w:val="20"/>
        </w:rPr>
        <w:lastRenderedPageBreak/>
        <w:t>The name and address of the consignee (if different than the buyer)</w:t>
      </w:r>
    </w:p>
    <w:p w:rsidR="00D040A7" w:rsidRPr="00224527" w:rsidRDefault="00D040A7" w:rsidP="00D040A7">
      <w:pPr>
        <w:pStyle w:val="Default"/>
        <w:numPr>
          <w:ilvl w:val="3"/>
          <w:numId w:val="1"/>
        </w:numPr>
        <w:spacing w:after="200"/>
        <w:rPr>
          <w:rFonts w:ascii="Arial" w:hAnsi="Arial" w:cs="Arial"/>
          <w:sz w:val="20"/>
          <w:szCs w:val="20"/>
        </w:rPr>
      </w:pPr>
      <w:r w:rsidRPr="00224527">
        <w:rPr>
          <w:rFonts w:ascii="Arial" w:hAnsi="Arial" w:cs="Arial"/>
          <w:sz w:val="20"/>
          <w:szCs w:val="20"/>
        </w:rPr>
        <w:t>The Notify Party (</w:t>
      </w:r>
      <w:r>
        <w:rPr>
          <w:rFonts w:ascii="Arial" w:hAnsi="Arial" w:cs="Arial"/>
          <w:sz w:val="20"/>
          <w:szCs w:val="20"/>
        </w:rPr>
        <w:t>COMPANY</w:t>
      </w:r>
      <w:r w:rsidRPr="00224527">
        <w:rPr>
          <w:rFonts w:ascii="Arial" w:hAnsi="Arial" w:cs="Arial"/>
          <w:sz w:val="20"/>
          <w:szCs w:val="20"/>
        </w:rPr>
        <w:t>’s customs broker)</w:t>
      </w:r>
    </w:p>
    <w:p w:rsidR="00D040A7" w:rsidRPr="00224527" w:rsidRDefault="00D040A7" w:rsidP="00D040A7">
      <w:pPr>
        <w:pStyle w:val="Default"/>
        <w:numPr>
          <w:ilvl w:val="3"/>
          <w:numId w:val="1"/>
        </w:numPr>
        <w:spacing w:after="200"/>
        <w:rPr>
          <w:rFonts w:ascii="Arial" w:hAnsi="Arial" w:cs="Arial"/>
          <w:sz w:val="20"/>
          <w:szCs w:val="20"/>
        </w:rPr>
      </w:pPr>
      <w:r w:rsidRPr="00224527">
        <w:rPr>
          <w:rFonts w:ascii="Arial" w:hAnsi="Arial" w:cs="Arial"/>
          <w:sz w:val="20"/>
          <w:szCs w:val="20"/>
        </w:rPr>
        <w:t>The buyer’s reference (</w:t>
      </w:r>
      <w:r>
        <w:rPr>
          <w:rFonts w:ascii="Arial" w:hAnsi="Arial" w:cs="Arial"/>
          <w:sz w:val="20"/>
          <w:szCs w:val="20"/>
        </w:rPr>
        <w:t>COMPANY</w:t>
      </w:r>
      <w:r w:rsidRPr="00224527">
        <w:rPr>
          <w:rFonts w:ascii="Arial" w:hAnsi="Arial" w:cs="Arial"/>
          <w:sz w:val="20"/>
          <w:szCs w:val="20"/>
        </w:rPr>
        <w:t>’s purchase order)</w:t>
      </w:r>
    </w:p>
    <w:p w:rsidR="00D040A7" w:rsidRPr="00224527" w:rsidRDefault="00D040A7" w:rsidP="00D040A7">
      <w:pPr>
        <w:pStyle w:val="Default"/>
        <w:numPr>
          <w:ilvl w:val="3"/>
          <w:numId w:val="1"/>
        </w:numPr>
        <w:spacing w:after="200"/>
        <w:rPr>
          <w:rFonts w:ascii="Arial" w:hAnsi="Arial" w:cs="Arial"/>
          <w:sz w:val="20"/>
          <w:szCs w:val="20"/>
        </w:rPr>
      </w:pPr>
      <w:r w:rsidRPr="00224527">
        <w:rPr>
          <w:rFonts w:ascii="Arial" w:hAnsi="Arial" w:cs="Arial"/>
          <w:sz w:val="20"/>
          <w:szCs w:val="20"/>
        </w:rPr>
        <w:t>The complete Incoterm with named place (FCA Kaohsiung Taiwan, not just FCA)</w:t>
      </w:r>
    </w:p>
    <w:p w:rsidR="00D040A7" w:rsidRPr="00224527" w:rsidRDefault="00D040A7" w:rsidP="00D040A7">
      <w:pPr>
        <w:pStyle w:val="Default"/>
        <w:numPr>
          <w:ilvl w:val="3"/>
          <w:numId w:val="1"/>
        </w:numPr>
        <w:spacing w:after="200"/>
        <w:rPr>
          <w:rFonts w:ascii="Arial" w:hAnsi="Arial" w:cs="Arial"/>
          <w:sz w:val="20"/>
          <w:szCs w:val="20"/>
        </w:rPr>
      </w:pPr>
      <w:r w:rsidRPr="00224527">
        <w:rPr>
          <w:rFonts w:ascii="Arial" w:hAnsi="Arial" w:cs="Arial"/>
          <w:sz w:val="20"/>
          <w:szCs w:val="20"/>
        </w:rPr>
        <w:t>Any additional charges required to be declared (such as shipping and packing)</w:t>
      </w:r>
    </w:p>
    <w:p w:rsidR="00D040A7" w:rsidRPr="00224527" w:rsidRDefault="00D040A7" w:rsidP="00D040A7">
      <w:pPr>
        <w:pStyle w:val="Default"/>
        <w:numPr>
          <w:ilvl w:val="3"/>
          <w:numId w:val="1"/>
        </w:numPr>
        <w:spacing w:after="200"/>
        <w:rPr>
          <w:rFonts w:ascii="Arial" w:hAnsi="Arial" w:cs="Arial"/>
          <w:sz w:val="20"/>
          <w:szCs w:val="20"/>
        </w:rPr>
      </w:pPr>
      <w:r w:rsidRPr="00224527">
        <w:rPr>
          <w:rFonts w:ascii="Arial" w:hAnsi="Arial" w:cs="Arial"/>
          <w:sz w:val="20"/>
          <w:szCs w:val="20"/>
        </w:rPr>
        <w:t>The date of the invoice</w:t>
      </w:r>
    </w:p>
    <w:p w:rsidR="00D040A7" w:rsidRPr="00224527" w:rsidRDefault="00D040A7" w:rsidP="00D040A7">
      <w:pPr>
        <w:pStyle w:val="Default"/>
        <w:spacing w:after="200"/>
        <w:rPr>
          <w:rFonts w:ascii="Arial" w:hAnsi="Arial" w:cs="Arial"/>
          <w:sz w:val="20"/>
          <w:szCs w:val="20"/>
        </w:rPr>
      </w:pPr>
      <w:r w:rsidRPr="00224527">
        <w:rPr>
          <w:rFonts w:ascii="Arial" w:hAnsi="Arial" w:cs="Arial"/>
          <w:sz w:val="20"/>
          <w:szCs w:val="20"/>
        </w:rPr>
        <w:t xml:space="preserve">It is essential that any additional charges, such as transportation or export packing, are declared on the invoice separate from the value of the material. If the charges are not declared separately, </w:t>
      </w:r>
      <w:r>
        <w:rPr>
          <w:rFonts w:ascii="Arial" w:hAnsi="Arial" w:cs="Arial"/>
          <w:sz w:val="20"/>
          <w:szCs w:val="20"/>
        </w:rPr>
        <w:t>COMPANY</w:t>
      </w:r>
      <w:r w:rsidRPr="00224527">
        <w:rPr>
          <w:rFonts w:ascii="Arial" w:hAnsi="Arial" w:cs="Arial"/>
          <w:sz w:val="20"/>
          <w:szCs w:val="20"/>
        </w:rPr>
        <w:t xml:space="preserve"> will needlessly pay extra duties and fees</w:t>
      </w:r>
      <w:r>
        <w:rPr>
          <w:rFonts w:ascii="Arial" w:hAnsi="Arial" w:cs="Arial"/>
          <w:sz w:val="20"/>
          <w:szCs w:val="20"/>
        </w:rPr>
        <w:t xml:space="preserve"> which may be charged back to Supplier</w:t>
      </w:r>
      <w:r w:rsidRPr="00224527">
        <w:rPr>
          <w:rFonts w:ascii="Arial" w:hAnsi="Arial" w:cs="Arial"/>
          <w:sz w:val="20"/>
          <w:szCs w:val="20"/>
        </w:rPr>
        <w:t>.</w:t>
      </w:r>
    </w:p>
    <w:p w:rsidR="00D040A7" w:rsidRDefault="00D040A7"/>
    <w:sectPr w:rsidR="00D040A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5836CF"/>
    <w:multiLevelType w:val="multilevel"/>
    <w:tmpl w:val="7B98E0B2"/>
    <w:lvl w:ilvl="0">
      <w:start w:val="1"/>
      <w:numFmt w:val="decimal"/>
      <w:lvlText w:val="%1."/>
      <w:lvlJc w:val="left"/>
      <w:pPr>
        <w:tabs>
          <w:tab w:val="num" w:pos="720"/>
        </w:tabs>
        <w:ind w:left="720" w:hanging="720"/>
      </w:pPr>
      <w:rPr>
        <w:rFonts w:hint="default"/>
        <w:b w:val="0"/>
      </w:rPr>
    </w:lvl>
    <w:lvl w:ilvl="1">
      <w:start w:val="1"/>
      <w:numFmt w:val="decimal"/>
      <w:lvlText w:val="%1.%2"/>
      <w:lvlJc w:val="left"/>
      <w:pPr>
        <w:tabs>
          <w:tab w:val="num" w:pos="1440"/>
        </w:tabs>
        <w:ind w:left="1440" w:hanging="720"/>
      </w:pPr>
      <w:rPr>
        <w:rFonts w:hint="default"/>
        <w:b w:val="0"/>
      </w:rPr>
    </w:lvl>
    <w:lvl w:ilvl="2">
      <w:start w:val="1"/>
      <w:numFmt w:val="decimal"/>
      <w:lvlText w:val="%1.%2.%3"/>
      <w:lvlJc w:val="left"/>
      <w:pPr>
        <w:tabs>
          <w:tab w:val="num" w:pos="2160"/>
        </w:tabs>
        <w:ind w:left="2160" w:hanging="720"/>
      </w:pPr>
      <w:rPr>
        <w:rFonts w:hint="default"/>
        <w:b w:val="0"/>
      </w:rPr>
    </w:lvl>
    <w:lvl w:ilvl="3">
      <w:start w:val="1"/>
      <w:numFmt w:val="decimal"/>
      <w:lvlText w:val="%1.%2.%3.%4"/>
      <w:lvlJc w:val="left"/>
      <w:pPr>
        <w:tabs>
          <w:tab w:val="num" w:pos="2880"/>
        </w:tabs>
        <w:ind w:left="2880" w:hanging="720"/>
      </w:pPr>
      <w:rPr>
        <w:rFonts w:hint="default"/>
        <w:b w:val="0"/>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40A7"/>
    <w:rsid w:val="00044D5A"/>
    <w:rsid w:val="00D040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290A991-EFD3-4911-BC65-39B69FF2DF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D040A7"/>
    <w:rPr>
      <w:color w:val="0563C1"/>
      <w:u w:val="single"/>
    </w:rPr>
  </w:style>
  <w:style w:type="paragraph" w:customStyle="1" w:styleId="Default">
    <w:name w:val="Default"/>
    <w:rsid w:val="00D040A7"/>
    <w:pPr>
      <w:autoSpaceDE w:val="0"/>
      <w:autoSpaceDN w:val="0"/>
      <w:adjustRightInd w:val="0"/>
      <w:spacing w:after="0" w:line="240" w:lineRule="auto"/>
    </w:pPr>
    <w:rPr>
      <w:rFonts w:eastAsia="Times New Roman" w:cs="Times New Roman"/>
      <w:color w:val="00000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33092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cbp.gov/trade/trade-community/programs-outreach/convict-importation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588</Words>
  <Characters>3355</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PolyOne</Company>
  <LinksUpToDate>false</LinksUpToDate>
  <CharactersWithSpaces>3936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Rose, Lila (US-POC1)</dc:creator>
  <cp:keywords/>
  <dc:description/>
  <cp:lastModifiedBy>Rose, Lila (US-POC1)</cp:lastModifiedBy>
  <cp:revision>1</cp:revision>
  <dcterms:created xsi:type="dcterms:W3CDTF">2018-04-26T15:24:00Z</dcterms:created>
  <dcterms:modified xsi:type="dcterms:W3CDTF">2018-04-26T15:28:00Z</dcterms:modified>
</cp:coreProperties>
</file>