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Default Extension="png" ContentType="image/pn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rPr>
          <w:rFonts w:ascii="Times New Roman"/>
          <w:sz w:val="3"/>
        </w:rPr>
      </w:pPr>
      <w:r>
        <w:rPr/>
        <w:drawing>
          <wp:anchor distT="0" distB="0" distL="0" distR="0" allowOverlap="1" layoutInCell="1" locked="0" behindDoc="0" simplePos="0" relativeHeight="1048">
            <wp:simplePos x="0" y="0"/>
            <wp:positionH relativeFrom="page">
              <wp:posOffset>536941</wp:posOffset>
            </wp:positionH>
            <wp:positionV relativeFrom="page">
              <wp:posOffset>160311</wp:posOffset>
            </wp:positionV>
            <wp:extent cx="501272" cy="245237"/>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7" cstate="print"/>
                    <a:stretch>
                      <a:fillRect/>
                    </a:stretch>
                  </pic:blipFill>
                  <pic:spPr>
                    <a:xfrm>
                      <a:off x="0" y="0"/>
                      <a:ext cx="501272" cy="245237"/>
                    </a:xfrm>
                    <a:prstGeom prst="rect">
                      <a:avLst/>
                    </a:prstGeom>
                  </pic:spPr>
                </pic:pic>
              </a:graphicData>
            </a:graphic>
          </wp:anchor>
        </w:drawing>
      </w:r>
    </w:p>
    <w:p>
      <w:pPr>
        <w:pStyle w:val="BodyText"/>
        <w:spacing w:line="105" w:lineRule="exact"/>
        <w:ind w:left="78"/>
        <w:rPr>
          <w:rFonts w:ascii="Times New Roman"/>
          <w:sz w:val="10"/>
        </w:rPr>
      </w:pPr>
      <w:r>
        <w:rPr>
          <w:rFonts w:ascii="Times New Roman"/>
          <w:position w:val="-1"/>
          <w:sz w:val="10"/>
        </w:rPr>
        <w:pict>
          <v:group style="width:522pt;height:5.25pt;mso-position-horizontal-relative:char;mso-position-vertical-relative:line" coordorigin="0,0" coordsize="10440,105">
            <v:line style="position:absolute" from="0,22" to="10440,22" stroked="true" strokeweight="2.2pt" strokecolor="#000000">
              <v:stroke dashstyle="solid"/>
            </v:line>
            <v:line style="position:absolute" from="0,102" to="10440,102" stroked="true" strokeweight=".3pt" strokecolor="#000000">
              <v:stroke dashstyle="solid"/>
            </v:line>
          </v:group>
        </w:pict>
      </w:r>
      <w:r>
        <w:rPr>
          <w:rFonts w:ascii="Times New Roman"/>
          <w:position w:val="-1"/>
          <w:sz w:val="10"/>
        </w:rPr>
      </w:r>
    </w:p>
    <w:p>
      <w:pPr>
        <w:spacing w:before="74"/>
        <w:ind w:left="3340" w:right="0" w:firstLine="0"/>
        <w:jc w:val="left"/>
        <w:rPr>
          <w:rFonts w:ascii="Arial"/>
          <w:b/>
          <w:sz w:val="28"/>
        </w:rPr>
      </w:pPr>
      <w:r>
        <w:rPr>
          <w:rFonts w:ascii="Arial"/>
          <w:b/>
          <w:sz w:val="28"/>
        </w:rPr>
        <w:t>Presidential Documents</w:t>
      </w:r>
    </w:p>
    <w:p>
      <w:pPr>
        <w:pStyle w:val="BodyText"/>
        <w:rPr>
          <w:rFonts w:ascii="Arial"/>
          <w:b/>
        </w:rPr>
      </w:pPr>
    </w:p>
    <w:p>
      <w:pPr>
        <w:pStyle w:val="BodyText"/>
        <w:rPr>
          <w:rFonts w:ascii="Arial"/>
          <w:b/>
        </w:rPr>
      </w:pPr>
    </w:p>
    <w:p>
      <w:pPr>
        <w:pStyle w:val="BodyText"/>
        <w:rPr>
          <w:rFonts w:ascii="Arial"/>
          <w:b/>
        </w:rPr>
      </w:pPr>
    </w:p>
    <w:p>
      <w:pPr>
        <w:pStyle w:val="BodyText"/>
        <w:spacing w:before="1"/>
        <w:rPr>
          <w:rFonts w:ascii="Arial"/>
          <w:b/>
          <w:sz w:val="17"/>
        </w:rPr>
      </w:pPr>
    </w:p>
    <w:p>
      <w:pPr>
        <w:spacing w:before="94"/>
        <w:ind w:left="3340" w:right="0" w:firstLine="0"/>
        <w:jc w:val="both"/>
        <w:rPr>
          <w:rFonts w:ascii="Tahoma"/>
          <w:b/>
          <w:sz w:val="20"/>
        </w:rPr>
      </w:pPr>
      <w:r>
        <w:rPr>
          <w:rFonts w:ascii="Tahoma"/>
          <w:b/>
          <w:sz w:val="20"/>
        </w:rPr>
        <w:t>Proclamation 9693 of January 23, 2018</w:t>
      </w:r>
    </w:p>
    <w:p>
      <w:pPr>
        <w:spacing w:line="230" w:lineRule="auto" w:before="192"/>
        <w:ind w:left="3340" w:right="114" w:firstLine="0"/>
        <w:jc w:val="both"/>
        <w:rPr>
          <w:rFonts w:ascii="Tahoma"/>
          <w:b/>
          <w:sz w:val="24"/>
        </w:rPr>
      </w:pPr>
      <w:r>
        <w:rPr>
          <w:rFonts w:ascii="Tahoma"/>
          <w:b/>
          <w:sz w:val="24"/>
        </w:rPr>
        <w:t>To Facilitate Positive Adjustment to Competition From Im-</w:t>
      </w:r>
      <w:r>
        <w:rPr>
          <w:rFonts w:ascii="Tahoma"/>
          <w:b/>
          <w:w w:val="86"/>
          <w:sz w:val="24"/>
        </w:rPr>
        <w:t> </w:t>
      </w:r>
      <w:r>
        <w:rPr>
          <w:rFonts w:ascii="Tahoma"/>
          <w:b/>
          <w:sz w:val="24"/>
        </w:rPr>
        <w:t>ports of Certain Crystalline Silicon Photovoltaic Cells (Whether or Not Partially or Fully Assembled Into Other Products) and for Other Purposes</w:t>
      </w:r>
    </w:p>
    <w:p>
      <w:pPr>
        <w:pStyle w:val="BodyText"/>
        <w:rPr>
          <w:rFonts w:ascii="Tahoma"/>
          <w:b/>
          <w:sz w:val="23"/>
        </w:rPr>
      </w:pPr>
    </w:p>
    <w:p>
      <w:pPr>
        <w:spacing w:line="420" w:lineRule="atLeast" w:before="0"/>
        <w:ind w:left="3340" w:right="2558" w:firstLine="0"/>
        <w:jc w:val="left"/>
        <w:rPr>
          <w:rFonts w:ascii="Tahoma"/>
          <w:b/>
          <w:sz w:val="20"/>
        </w:rPr>
      </w:pPr>
      <w:r>
        <w:rPr>
          <w:rFonts w:ascii="Tahoma"/>
          <w:b/>
          <w:sz w:val="20"/>
        </w:rPr>
        <w:t>By</w:t>
      </w:r>
      <w:r>
        <w:rPr>
          <w:rFonts w:ascii="Tahoma"/>
          <w:b/>
          <w:spacing w:val="-14"/>
          <w:sz w:val="20"/>
        </w:rPr>
        <w:t> </w:t>
      </w:r>
      <w:r>
        <w:rPr>
          <w:rFonts w:ascii="Tahoma"/>
          <w:b/>
          <w:sz w:val="20"/>
        </w:rPr>
        <w:t>the</w:t>
      </w:r>
      <w:r>
        <w:rPr>
          <w:rFonts w:ascii="Tahoma"/>
          <w:b/>
          <w:spacing w:val="-14"/>
          <w:sz w:val="20"/>
        </w:rPr>
        <w:t> </w:t>
      </w:r>
      <w:r>
        <w:rPr>
          <w:rFonts w:ascii="Tahoma"/>
          <w:b/>
          <w:sz w:val="20"/>
        </w:rPr>
        <w:t>President</w:t>
      </w:r>
      <w:r>
        <w:rPr>
          <w:rFonts w:ascii="Tahoma"/>
          <w:b/>
          <w:spacing w:val="-14"/>
          <w:sz w:val="20"/>
        </w:rPr>
        <w:t> </w:t>
      </w:r>
      <w:r>
        <w:rPr>
          <w:rFonts w:ascii="Tahoma"/>
          <w:b/>
          <w:sz w:val="20"/>
        </w:rPr>
        <w:t>of</w:t>
      </w:r>
      <w:r>
        <w:rPr>
          <w:rFonts w:ascii="Tahoma"/>
          <w:b/>
          <w:spacing w:val="-14"/>
          <w:sz w:val="20"/>
        </w:rPr>
        <w:t> </w:t>
      </w:r>
      <w:r>
        <w:rPr>
          <w:rFonts w:ascii="Tahoma"/>
          <w:b/>
          <w:sz w:val="20"/>
        </w:rPr>
        <w:t>the</w:t>
      </w:r>
      <w:r>
        <w:rPr>
          <w:rFonts w:ascii="Tahoma"/>
          <w:b/>
          <w:spacing w:val="-14"/>
          <w:sz w:val="20"/>
        </w:rPr>
        <w:t> </w:t>
      </w:r>
      <w:r>
        <w:rPr>
          <w:rFonts w:ascii="Tahoma"/>
          <w:b/>
          <w:sz w:val="20"/>
        </w:rPr>
        <w:t>United</w:t>
      </w:r>
      <w:r>
        <w:rPr>
          <w:rFonts w:ascii="Tahoma"/>
          <w:b/>
          <w:spacing w:val="-14"/>
          <w:sz w:val="20"/>
        </w:rPr>
        <w:t> </w:t>
      </w:r>
      <w:r>
        <w:rPr>
          <w:rFonts w:ascii="Tahoma"/>
          <w:b/>
          <w:sz w:val="20"/>
        </w:rPr>
        <w:t>States</w:t>
      </w:r>
      <w:r>
        <w:rPr>
          <w:rFonts w:ascii="Tahoma"/>
          <w:b/>
          <w:spacing w:val="-14"/>
          <w:sz w:val="20"/>
        </w:rPr>
        <w:t> </w:t>
      </w:r>
      <w:r>
        <w:rPr>
          <w:rFonts w:ascii="Tahoma"/>
          <w:b/>
          <w:sz w:val="20"/>
        </w:rPr>
        <w:t>of</w:t>
      </w:r>
      <w:r>
        <w:rPr>
          <w:rFonts w:ascii="Tahoma"/>
          <w:b/>
          <w:spacing w:val="-14"/>
          <w:sz w:val="20"/>
        </w:rPr>
        <w:t> </w:t>
      </w:r>
      <w:r>
        <w:rPr>
          <w:rFonts w:ascii="Tahoma"/>
          <w:b/>
          <w:sz w:val="20"/>
        </w:rPr>
        <w:t>America A</w:t>
      </w:r>
      <w:r>
        <w:rPr>
          <w:rFonts w:ascii="Tahoma"/>
          <w:b/>
          <w:spacing w:val="26"/>
          <w:sz w:val="20"/>
        </w:rPr>
        <w:t> </w:t>
      </w:r>
      <w:r>
        <w:rPr>
          <w:rFonts w:ascii="Tahoma"/>
          <w:b/>
          <w:sz w:val="20"/>
        </w:rPr>
        <w:t>Proclamation</w:t>
      </w:r>
    </w:p>
    <w:p>
      <w:pPr>
        <w:pStyle w:val="ListParagraph"/>
        <w:numPr>
          <w:ilvl w:val="0"/>
          <w:numId w:val="1"/>
        </w:numPr>
        <w:tabs>
          <w:tab w:pos="3577" w:val="left" w:leader="none"/>
        </w:tabs>
        <w:spacing w:line="223" w:lineRule="auto" w:before="90" w:after="0"/>
        <w:ind w:left="3340" w:right="118" w:firstLine="0"/>
        <w:jc w:val="both"/>
        <w:rPr>
          <w:sz w:val="20"/>
        </w:rPr>
      </w:pPr>
      <w:r>
        <w:rPr>
          <w:w w:val="105"/>
          <w:sz w:val="20"/>
        </w:rPr>
        <w:t>On November 13, 2017, the United States International Trade Commission (ITC) transmitted to the President a report (the ‘‘ITC Report’’) on its investiga- tion under section 202 of the Trade Act of 1974,  as  amended  (the  ‘‘Trade  Act’’) (19 U.S.C. 2252), with respect to imports of certain crystalline silicon photovoltaic (CSPV) cells, whether or not partially or fully  assembled  into  other products (including,  but  not  limited  to,  modules,  laminates,  panels,  and building-integrated materials) (‘‘CSPV products’’). These products  ex-  clude certain products described in the  ITC  Notice  of  Institution,  82  </w:t>
      </w:r>
      <w:r>
        <w:rPr>
          <w:i/>
          <w:w w:val="105"/>
          <w:sz w:val="20"/>
        </w:rPr>
        <w:t>FR  </w:t>
      </w:r>
      <w:r>
        <w:rPr>
          <w:w w:val="105"/>
          <w:sz w:val="20"/>
        </w:rPr>
        <w:t>25331 (June  1,  2017),  and  listed  in  subdivision  (c)(ii)  of  Note  18  in  Annex I to this</w:t>
      </w:r>
      <w:r>
        <w:rPr>
          <w:spacing w:val="23"/>
          <w:w w:val="105"/>
          <w:sz w:val="20"/>
        </w:rPr>
        <w:t> </w:t>
      </w:r>
      <w:r>
        <w:rPr>
          <w:w w:val="105"/>
          <w:sz w:val="20"/>
        </w:rPr>
        <w:t>proclamation.</w:t>
      </w:r>
    </w:p>
    <w:p>
      <w:pPr>
        <w:pStyle w:val="ListParagraph"/>
        <w:numPr>
          <w:ilvl w:val="0"/>
          <w:numId w:val="1"/>
        </w:numPr>
        <w:tabs>
          <w:tab w:pos="3622" w:val="left" w:leader="none"/>
        </w:tabs>
        <w:spacing w:line="225" w:lineRule="auto" w:before="92" w:after="0"/>
        <w:ind w:left="3340" w:right="119" w:firstLine="0"/>
        <w:jc w:val="both"/>
        <w:rPr>
          <w:sz w:val="20"/>
        </w:rPr>
      </w:pPr>
      <w:r>
        <w:rPr>
          <w:w w:val="105"/>
          <w:sz w:val="20"/>
        </w:rPr>
        <w:t>The ITC reached an  affirmative  determination  under  section  202(b)  of  the Trade Act (19 U.S.C. 2252(b))  that  CSPV  products  are  being  imported  into the United States in such increased quantities  as  to  be  a  substantial  cause of serious injury, or threat of serious injury, to the domestic industry producing a like or directly competitive</w:t>
      </w:r>
      <w:r>
        <w:rPr>
          <w:spacing w:val="8"/>
          <w:w w:val="105"/>
          <w:sz w:val="20"/>
        </w:rPr>
        <w:t> </w:t>
      </w:r>
      <w:r>
        <w:rPr>
          <w:w w:val="105"/>
          <w:sz w:val="20"/>
        </w:rPr>
        <w:t>article.</w:t>
      </w:r>
    </w:p>
    <w:p>
      <w:pPr>
        <w:pStyle w:val="ListParagraph"/>
        <w:numPr>
          <w:ilvl w:val="0"/>
          <w:numId w:val="1"/>
        </w:numPr>
        <w:tabs>
          <w:tab w:pos="3596" w:val="left" w:leader="none"/>
        </w:tabs>
        <w:spacing w:line="225" w:lineRule="auto" w:before="82" w:after="0"/>
        <w:ind w:left="3340" w:right="117" w:firstLine="0"/>
        <w:jc w:val="both"/>
        <w:rPr>
          <w:sz w:val="20"/>
        </w:rPr>
      </w:pPr>
      <w:r>
        <w:rPr>
          <w:w w:val="105"/>
          <w:sz w:val="20"/>
        </w:rPr>
        <w:t>Pursuant to section 311(a) of the North American Free Trade Agreement Implementation Act (the ‘‘NAFTA Implementation Act’’) (19 U.S.C.  3371(a)),  the ITC made findings as to whether imports from Mexico and Canada, considered  individually,  account  for  a  substantial  share  of  total </w:t>
      </w:r>
      <w:r>
        <w:rPr>
          <w:spacing w:val="28"/>
          <w:w w:val="105"/>
          <w:sz w:val="20"/>
        </w:rPr>
        <w:t> </w:t>
      </w:r>
      <w:r>
        <w:rPr>
          <w:w w:val="105"/>
          <w:sz w:val="20"/>
        </w:rPr>
        <w:t>imports and contribute importantly to  the  serious  injury,  or  threat  thereof,  caused  by imports.  The  ITC  made  affirmative  findings  of  contribution  to  injury  with respect to imports of CSPV products from Mexico but made negative findings</w:t>
      </w:r>
      <w:r>
        <w:rPr>
          <w:spacing w:val="10"/>
          <w:w w:val="105"/>
          <w:sz w:val="20"/>
        </w:rPr>
        <w:t> </w:t>
      </w:r>
      <w:r>
        <w:rPr>
          <w:w w:val="105"/>
          <w:sz w:val="20"/>
        </w:rPr>
        <w:t>with</w:t>
      </w:r>
      <w:r>
        <w:rPr>
          <w:spacing w:val="10"/>
          <w:w w:val="105"/>
          <w:sz w:val="20"/>
        </w:rPr>
        <w:t> </w:t>
      </w:r>
      <w:r>
        <w:rPr>
          <w:w w:val="105"/>
          <w:sz w:val="20"/>
        </w:rPr>
        <w:t>respect</w:t>
      </w:r>
      <w:r>
        <w:rPr>
          <w:spacing w:val="10"/>
          <w:w w:val="105"/>
          <w:sz w:val="20"/>
        </w:rPr>
        <w:t> </w:t>
      </w:r>
      <w:r>
        <w:rPr>
          <w:w w:val="105"/>
          <w:sz w:val="20"/>
        </w:rPr>
        <w:t>to</w:t>
      </w:r>
      <w:r>
        <w:rPr>
          <w:spacing w:val="10"/>
          <w:w w:val="105"/>
          <w:sz w:val="20"/>
        </w:rPr>
        <w:t> </w:t>
      </w:r>
      <w:r>
        <w:rPr>
          <w:w w:val="105"/>
          <w:sz w:val="20"/>
        </w:rPr>
        <w:t>imports</w:t>
      </w:r>
      <w:r>
        <w:rPr>
          <w:spacing w:val="10"/>
          <w:w w:val="105"/>
          <w:sz w:val="20"/>
        </w:rPr>
        <w:t> </w:t>
      </w:r>
      <w:r>
        <w:rPr>
          <w:w w:val="105"/>
          <w:sz w:val="20"/>
        </w:rPr>
        <w:t>of</w:t>
      </w:r>
      <w:r>
        <w:rPr>
          <w:spacing w:val="10"/>
          <w:w w:val="105"/>
          <w:sz w:val="20"/>
        </w:rPr>
        <w:t> </w:t>
      </w:r>
      <w:r>
        <w:rPr>
          <w:w w:val="105"/>
          <w:sz w:val="20"/>
        </w:rPr>
        <w:t>CSPV</w:t>
      </w:r>
      <w:r>
        <w:rPr>
          <w:spacing w:val="10"/>
          <w:w w:val="105"/>
          <w:sz w:val="20"/>
        </w:rPr>
        <w:t> </w:t>
      </w:r>
      <w:r>
        <w:rPr>
          <w:w w:val="105"/>
          <w:sz w:val="20"/>
        </w:rPr>
        <w:t>products</w:t>
      </w:r>
      <w:r>
        <w:rPr>
          <w:spacing w:val="10"/>
          <w:w w:val="105"/>
          <w:sz w:val="20"/>
        </w:rPr>
        <w:t> </w:t>
      </w:r>
      <w:r>
        <w:rPr>
          <w:w w:val="105"/>
          <w:sz w:val="20"/>
        </w:rPr>
        <w:t>from</w:t>
      </w:r>
      <w:r>
        <w:rPr>
          <w:spacing w:val="10"/>
          <w:w w:val="105"/>
          <w:sz w:val="20"/>
        </w:rPr>
        <w:t> </w:t>
      </w:r>
      <w:r>
        <w:rPr>
          <w:w w:val="105"/>
          <w:sz w:val="20"/>
        </w:rPr>
        <w:t>Canada.</w:t>
      </w:r>
    </w:p>
    <w:p>
      <w:pPr>
        <w:pStyle w:val="ListParagraph"/>
        <w:numPr>
          <w:ilvl w:val="0"/>
          <w:numId w:val="1"/>
        </w:numPr>
        <w:tabs>
          <w:tab w:pos="3607" w:val="left" w:leader="none"/>
        </w:tabs>
        <w:spacing w:line="225" w:lineRule="auto" w:before="80" w:after="0"/>
        <w:ind w:left="3340" w:right="116" w:firstLine="0"/>
        <w:jc w:val="both"/>
        <w:rPr>
          <w:sz w:val="20"/>
        </w:rPr>
      </w:pPr>
      <w:r>
        <w:rPr>
          <w:w w:val="105"/>
          <w:sz w:val="20"/>
        </w:rPr>
        <w:t>On November 27, 2017, the United States Trade Representative (USTR) requested additional information from  the  ITC  under  section  203(a)(5)  of  the Trade Act (19 U.S.C. 2253(a)(5)). On December 27, 2017, the ITC provided   a response that identified unforeseen developments that led to the importa-  tion of  CSPV  products  into  the  United  States  in  such  increased  quantities  as</w:t>
      </w:r>
      <w:r>
        <w:rPr>
          <w:spacing w:val="12"/>
          <w:w w:val="105"/>
          <w:sz w:val="20"/>
        </w:rPr>
        <w:t> </w:t>
      </w:r>
      <w:r>
        <w:rPr>
          <w:w w:val="105"/>
          <w:sz w:val="20"/>
        </w:rPr>
        <w:t>to</w:t>
      </w:r>
      <w:r>
        <w:rPr>
          <w:spacing w:val="12"/>
          <w:w w:val="105"/>
          <w:sz w:val="20"/>
        </w:rPr>
        <w:t> </w:t>
      </w:r>
      <w:r>
        <w:rPr>
          <w:w w:val="105"/>
          <w:sz w:val="20"/>
        </w:rPr>
        <w:t>be</w:t>
      </w:r>
      <w:r>
        <w:rPr>
          <w:spacing w:val="12"/>
          <w:w w:val="105"/>
          <w:sz w:val="20"/>
        </w:rPr>
        <w:t> </w:t>
      </w:r>
      <w:r>
        <w:rPr>
          <w:w w:val="105"/>
          <w:sz w:val="20"/>
        </w:rPr>
        <w:t>a</w:t>
      </w:r>
      <w:r>
        <w:rPr>
          <w:spacing w:val="12"/>
          <w:w w:val="105"/>
          <w:sz w:val="20"/>
        </w:rPr>
        <w:t> </w:t>
      </w:r>
      <w:r>
        <w:rPr>
          <w:w w:val="105"/>
          <w:sz w:val="20"/>
        </w:rPr>
        <w:t>substantial</w:t>
      </w:r>
      <w:r>
        <w:rPr>
          <w:spacing w:val="12"/>
          <w:w w:val="105"/>
          <w:sz w:val="20"/>
        </w:rPr>
        <w:t> </w:t>
      </w:r>
      <w:r>
        <w:rPr>
          <w:w w:val="105"/>
          <w:sz w:val="20"/>
        </w:rPr>
        <w:t>cause</w:t>
      </w:r>
      <w:r>
        <w:rPr>
          <w:spacing w:val="12"/>
          <w:w w:val="105"/>
          <w:sz w:val="20"/>
        </w:rPr>
        <w:t> </w:t>
      </w:r>
      <w:r>
        <w:rPr>
          <w:w w:val="105"/>
          <w:sz w:val="20"/>
        </w:rPr>
        <w:t>of</w:t>
      </w:r>
      <w:r>
        <w:rPr>
          <w:spacing w:val="12"/>
          <w:w w:val="105"/>
          <w:sz w:val="20"/>
        </w:rPr>
        <w:t> </w:t>
      </w:r>
      <w:r>
        <w:rPr>
          <w:w w:val="105"/>
          <w:sz w:val="20"/>
        </w:rPr>
        <w:t>serious</w:t>
      </w:r>
      <w:r>
        <w:rPr>
          <w:spacing w:val="12"/>
          <w:w w:val="105"/>
          <w:sz w:val="20"/>
        </w:rPr>
        <w:t> </w:t>
      </w:r>
      <w:r>
        <w:rPr>
          <w:w w:val="105"/>
          <w:sz w:val="20"/>
        </w:rPr>
        <w:t>injury</w:t>
      </w:r>
      <w:r>
        <w:rPr>
          <w:spacing w:val="12"/>
          <w:w w:val="105"/>
          <w:sz w:val="20"/>
        </w:rPr>
        <w:t> </w:t>
      </w:r>
      <w:r>
        <w:rPr>
          <w:w w:val="105"/>
          <w:sz w:val="20"/>
        </w:rPr>
        <w:t>(the</w:t>
      </w:r>
      <w:r>
        <w:rPr>
          <w:spacing w:val="12"/>
          <w:w w:val="105"/>
          <w:sz w:val="20"/>
        </w:rPr>
        <w:t> </w:t>
      </w:r>
      <w:r>
        <w:rPr>
          <w:w w:val="105"/>
          <w:sz w:val="20"/>
        </w:rPr>
        <w:t>‘‘supplemental</w:t>
      </w:r>
      <w:r>
        <w:rPr>
          <w:spacing w:val="12"/>
          <w:w w:val="105"/>
          <w:sz w:val="20"/>
        </w:rPr>
        <w:t> </w:t>
      </w:r>
      <w:r>
        <w:rPr>
          <w:w w:val="105"/>
          <w:sz w:val="20"/>
        </w:rPr>
        <w:t>report’’).</w:t>
      </w:r>
    </w:p>
    <w:p>
      <w:pPr>
        <w:pStyle w:val="ListParagraph"/>
        <w:numPr>
          <w:ilvl w:val="0"/>
          <w:numId w:val="1"/>
        </w:numPr>
        <w:tabs>
          <w:tab w:pos="3638" w:val="left" w:leader="none"/>
        </w:tabs>
        <w:spacing w:line="225" w:lineRule="auto" w:before="82" w:after="0"/>
        <w:ind w:left="3340" w:right="118" w:firstLine="0"/>
        <w:jc w:val="both"/>
        <w:rPr>
          <w:sz w:val="20"/>
        </w:rPr>
      </w:pPr>
      <w:r>
        <w:rPr>
          <w:w w:val="105"/>
          <w:sz w:val="20"/>
        </w:rPr>
        <w:t>The ITC commissioners transmitted to the President their individual recommendations with respect to the actions that each of them considered would address the serious injury, or threat of serious injury, to the domestic industry  and  be  most  effective  in  facilitating  the  efforts  of  the  industry      to make a positive adjustment to import competition. The ITC did</w:t>
      </w:r>
      <w:r>
        <w:rPr>
          <w:spacing w:val="35"/>
          <w:w w:val="105"/>
          <w:sz w:val="20"/>
        </w:rPr>
        <w:t> </w:t>
      </w:r>
      <w:r>
        <w:rPr>
          <w:w w:val="105"/>
          <w:sz w:val="20"/>
        </w:rPr>
        <w:t>not recommend an action  within  the  meaning  of  section  202(e)  of  the  Trade  Act (19 U.S.C.</w:t>
      </w:r>
      <w:r>
        <w:rPr>
          <w:spacing w:val="23"/>
          <w:w w:val="105"/>
          <w:sz w:val="20"/>
        </w:rPr>
        <w:t> </w:t>
      </w:r>
      <w:r>
        <w:rPr>
          <w:w w:val="105"/>
          <w:sz w:val="20"/>
        </w:rPr>
        <w:t>2252(e)).</w:t>
      </w:r>
    </w:p>
    <w:p>
      <w:pPr>
        <w:pStyle w:val="ListParagraph"/>
        <w:numPr>
          <w:ilvl w:val="0"/>
          <w:numId w:val="1"/>
        </w:numPr>
        <w:tabs>
          <w:tab w:pos="3625" w:val="left" w:leader="none"/>
        </w:tabs>
        <w:spacing w:line="225" w:lineRule="auto" w:before="81" w:after="0"/>
        <w:ind w:left="3340" w:right="116" w:firstLine="0"/>
        <w:jc w:val="both"/>
        <w:rPr>
          <w:sz w:val="20"/>
        </w:rPr>
      </w:pPr>
      <w:r>
        <w:rPr>
          <w:w w:val="105"/>
          <w:sz w:val="20"/>
        </w:rPr>
        <w:t>Pursuant to section 203 of the Trade  Act  (19  U.S.C.  2253),  and  after  taking into account the considerations specified in section 203(a)(2) of the Trade Act (19 U.S.C. 2253(a)(2)), the ITC  Report,  and  the  supplemental  report, I have determined to implement action of a type described in section 203(a)(3) of the Trade Act (19 U.S.C. 2252(a)(3)) (a ‘‘safeguard  measure’’),  with regard to the following CSPV</w:t>
      </w:r>
      <w:r>
        <w:rPr>
          <w:spacing w:val="7"/>
          <w:w w:val="105"/>
          <w:sz w:val="20"/>
        </w:rPr>
        <w:t> </w:t>
      </w:r>
      <w:r>
        <w:rPr>
          <w:w w:val="105"/>
          <w:sz w:val="20"/>
        </w:rPr>
        <w:t>products:</w:t>
      </w:r>
    </w:p>
    <w:p>
      <w:pPr>
        <w:spacing w:after="0" w:line="225" w:lineRule="auto"/>
        <w:jc w:val="both"/>
        <w:rPr>
          <w:sz w:val="20"/>
        </w:rPr>
        <w:sectPr>
          <w:headerReference w:type="default" r:id="rId5"/>
          <w:headerReference w:type="even" r:id="rId6"/>
          <w:type w:val="continuous"/>
          <w:pgSz w:w="12240" w:h="15840"/>
          <w:pgMar w:header="627" w:top="880" w:bottom="280" w:left="800" w:right="780"/>
          <w:pgNumType w:start="3541"/>
        </w:sectPr>
      </w:pPr>
    </w:p>
    <w:p>
      <w:pPr>
        <w:pStyle w:val="ListParagraph"/>
        <w:numPr>
          <w:ilvl w:val="1"/>
          <w:numId w:val="1"/>
        </w:numPr>
        <w:tabs>
          <w:tab w:pos="3873" w:val="left" w:leader="none"/>
        </w:tabs>
        <w:spacing w:line="225" w:lineRule="auto" w:before="138" w:after="0"/>
        <w:ind w:left="3340" w:right="117" w:firstLine="200"/>
        <w:jc w:val="both"/>
        <w:rPr>
          <w:sz w:val="20"/>
        </w:rPr>
      </w:pPr>
      <w:r>
        <w:rPr>
          <w:w w:val="105"/>
          <w:sz w:val="20"/>
        </w:rPr>
        <w:t>solar cells, whether or not assembled into modules or made up into  panels provided for in subheading 8541.40.60 in Annex I  to  this  proclama- tion;</w:t>
      </w:r>
    </w:p>
    <w:p>
      <w:pPr>
        <w:pStyle w:val="ListParagraph"/>
        <w:numPr>
          <w:ilvl w:val="1"/>
          <w:numId w:val="1"/>
        </w:numPr>
        <w:tabs>
          <w:tab w:pos="3918" w:val="left" w:leader="none"/>
        </w:tabs>
        <w:spacing w:line="225" w:lineRule="auto" w:before="87" w:after="0"/>
        <w:ind w:left="3340" w:right="117" w:firstLine="200"/>
        <w:jc w:val="both"/>
        <w:rPr>
          <w:sz w:val="20"/>
        </w:rPr>
      </w:pPr>
      <w:r>
        <w:rPr>
          <w:w w:val="105"/>
          <w:sz w:val="20"/>
        </w:rPr>
        <w:t>parts or subassemblies of solar cells provided for in subheadings 8501.31.80, </w:t>
      </w:r>
      <w:r>
        <w:rPr>
          <w:spacing w:val="32"/>
          <w:w w:val="105"/>
          <w:sz w:val="20"/>
        </w:rPr>
        <w:t> </w:t>
      </w:r>
      <w:r>
        <w:rPr>
          <w:w w:val="105"/>
          <w:sz w:val="20"/>
        </w:rPr>
        <w:t>8501.61.00, </w:t>
      </w:r>
      <w:r>
        <w:rPr>
          <w:spacing w:val="32"/>
          <w:w w:val="105"/>
          <w:sz w:val="20"/>
        </w:rPr>
        <w:t> </w:t>
      </w:r>
      <w:r>
        <w:rPr>
          <w:w w:val="105"/>
          <w:sz w:val="20"/>
        </w:rPr>
        <w:t>and </w:t>
      </w:r>
      <w:r>
        <w:rPr>
          <w:spacing w:val="32"/>
          <w:w w:val="105"/>
          <w:sz w:val="20"/>
        </w:rPr>
        <w:t> </w:t>
      </w:r>
      <w:r>
        <w:rPr>
          <w:w w:val="105"/>
          <w:sz w:val="20"/>
        </w:rPr>
        <w:t>8507.20.80 </w:t>
      </w:r>
      <w:r>
        <w:rPr>
          <w:spacing w:val="32"/>
          <w:w w:val="105"/>
          <w:sz w:val="20"/>
        </w:rPr>
        <w:t> </w:t>
      </w:r>
      <w:r>
        <w:rPr>
          <w:w w:val="105"/>
          <w:sz w:val="20"/>
        </w:rPr>
        <w:t>in </w:t>
      </w:r>
      <w:r>
        <w:rPr>
          <w:spacing w:val="32"/>
          <w:w w:val="105"/>
          <w:sz w:val="20"/>
        </w:rPr>
        <w:t> </w:t>
      </w:r>
      <w:r>
        <w:rPr>
          <w:w w:val="105"/>
          <w:sz w:val="20"/>
        </w:rPr>
        <w:t>Annex </w:t>
      </w:r>
      <w:r>
        <w:rPr>
          <w:spacing w:val="32"/>
          <w:w w:val="105"/>
          <w:sz w:val="20"/>
        </w:rPr>
        <w:t> </w:t>
      </w:r>
      <w:r>
        <w:rPr>
          <w:w w:val="105"/>
          <w:sz w:val="20"/>
        </w:rPr>
        <w:t>I </w:t>
      </w:r>
      <w:r>
        <w:rPr>
          <w:spacing w:val="32"/>
          <w:w w:val="105"/>
          <w:sz w:val="20"/>
        </w:rPr>
        <w:t> </w:t>
      </w:r>
      <w:r>
        <w:rPr>
          <w:w w:val="105"/>
          <w:sz w:val="20"/>
        </w:rPr>
        <w:t>to </w:t>
      </w:r>
      <w:r>
        <w:rPr>
          <w:spacing w:val="32"/>
          <w:w w:val="105"/>
          <w:sz w:val="20"/>
        </w:rPr>
        <w:t> </w:t>
      </w:r>
      <w:r>
        <w:rPr>
          <w:w w:val="105"/>
          <w:sz w:val="20"/>
        </w:rPr>
        <w:t>this </w:t>
      </w:r>
      <w:r>
        <w:rPr>
          <w:spacing w:val="32"/>
          <w:w w:val="105"/>
          <w:sz w:val="20"/>
        </w:rPr>
        <w:t> </w:t>
      </w:r>
      <w:r>
        <w:rPr>
          <w:w w:val="105"/>
          <w:sz w:val="20"/>
        </w:rPr>
        <w:t>proclamation;</w:t>
      </w:r>
    </w:p>
    <w:p>
      <w:pPr>
        <w:pStyle w:val="ListParagraph"/>
        <w:numPr>
          <w:ilvl w:val="1"/>
          <w:numId w:val="1"/>
        </w:numPr>
        <w:tabs>
          <w:tab w:pos="3881" w:val="left" w:leader="none"/>
        </w:tabs>
        <w:spacing w:line="225" w:lineRule="auto" w:before="87" w:after="0"/>
        <w:ind w:left="3340" w:right="117" w:firstLine="200"/>
        <w:jc w:val="both"/>
        <w:rPr>
          <w:sz w:val="20"/>
        </w:rPr>
      </w:pPr>
      <w:r>
        <w:rPr>
          <w:w w:val="105"/>
          <w:sz w:val="20"/>
        </w:rPr>
        <w:t>inverters or batteries with CSPV cells attached provided for in sub- headings</w:t>
      </w:r>
      <w:r>
        <w:rPr>
          <w:spacing w:val="15"/>
          <w:w w:val="105"/>
          <w:sz w:val="20"/>
        </w:rPr>
        <w:t> </w:t>
      </w:r>
      <w:r>
        <w:rPr>
          <w:w w:val="105"/>
          <w:sz w:val="20"/>
        </w:rPr>
        <w:t>8501.61.00</w:t>
      </w:r>
      <w:r>
        <w:rPr>
          <w:spacing w:val="15"/>
          <w:w w:val="105"/>
          <w:sz w:val="20"/>
        </w:rPr>
        <w:t> </w:t>
      </w:r>
      <w:r>
        <w:rPr>
          <w:w w:val="105"/>
          <w:sz w:val="20"/>
        </w:rPr>
        <w:t>and</w:t>
      </w:r>
      <w:r>
        <w:rPr>
          <w:spacing w:val="15"/>
          <w:w w:val="105"/>
          <w:sz w:val="20"/>
        </w:rPr>
        <w:t> </w:t>
      </w:r>
      <w:r>
        <w:rPr>
          <w:w w:val="105"/>
          <w:sz w:val="20"/>
        </w:rPr>
        <w:t>8507.20.80</w:t>
      </w:r>
      <w:r>
        <w:rPr>
          <w:spacing w:val="15"/>
          <w:w w:val="105"/>
          <w:sz w:val="20"/>
        </w:rPr>
        <w:t> </w:t>
      </w:r>
      <w:r>
        <w:rPr>
          <w:w w:val="105"/>
          <w:sz w:val="20"/>
        </w:rPr>
        <w:t>in</w:t>
      </w:r>
      <w:r>
        <w:rPr>
          <w:spacing w:val="15"/>
          <w:w w:val="105"/>
          <w:sz w:val="20"/>
        </w:rPr>
        <w:t> </w:t>
      </w:r>
      <w:r>
        <w:rPr>
          <w:w w:val="105"/>
          <w:sz w:val="20"/>
        </w:rPr>
        <w:t>Annex</w:t>
      </w:r>
      <w:r>
        <w:rPr>
          <w:spacing w:val="15"/>
          <w:w w:val="105"/>
          <w:sz w:val="20"/>
        </w:rPr>
        <w:t> </w:t>
      </w:r>
      <w:r>
        <w:rPr>
          <w:w w:val="105"/>
          <w:sz w:val="20"/>
        </w:rPr>
        <w:t>I</w:t>
      </w:r>
      <w:r>
        <w:rPr>
          <w:spacing w:val="15"/>
          <w:w w:val="105"/>
          <w:sz w:val="20"/>
        </w:rPr>
        <w:t> </w:t>
      </w:r>
      <w:r>
        <w:rPr>
          <w:w w:val="105"/>
          <w:sz w:val="20"/>
        </w:rPr>
        <w:t>to</w:t>
      </w:r>
      <w:r>
        <w:rPr>
          <w:spacing w:val="15"/>
          <w:w w:val="105"/>
          <w:sz w:val="20"/>
        </w:rPr>
        <w:t> </w:t>
      </w:r>
      <w:r>
        <w:rPr>
          <w:w w:val="105"/>
          <w:sz w:val="20"/>
        </w:rPr>
        <w:t>this</w:t>
      </w:r>
      <w:r>
        <w:rPr>
          <w:spacing w:val="15"/>
          <w:w w:val="105"/>
          <w:sz w:val="20"/>
        </w:rPr>
        <w:t> </w:t>
      </w:r>
      <w:r>
        <w:rPr>
          <w:w w:val="105"/>
          <w:sz w:val="20"/>
        </w:rPr>
        <w:t>proclamation;</w:t>
      </w:r>
      <w:r>
        <w:rPr>
          <w:spacing w:val="15"/>
          <w:w w:val="105"/>
          <w:sz w:val="20"/>
        </w:rPr>
        <w:t> </w:t>
      </w:r>
      <w:r>
        <w:rPr>
          <w:w w:val="105"/>
          <w:sz w:val="20"/>
        </w:rPr>
        <w:t>and</w:t>
      </w:r>
    </w:p>
    <w:p>
      <w:pPr>
        <w:pStyle w:val="ListParagraph"/>
        <w:numPr>
          <w:ilvl w:val="1"/>
          <w:numId w:val="1"/>
        </w:numPr>
        <w:tabs>
          <w:tab w:pos="3900" w:val="left" w:leader="none"/>
        </w:tabs>
        <w:spacing w:line="225" w:lineRule="auto" w:before="87" w:after="0"/>
        <w:ind w:left="3340" w:right="119" w:firstLine="200"/>
        <w:jc w:val="both"/>
        <w:rPr>
          <w:sz w:val="20"/>
        </w:rPr>
      </w:pPr>
      <w:r>
        <w:rPr>
          <w:w w:val="110"/>
          <w:sz w:val="20"/>
        </w:rPr>
        <w:t>DC generators with CSPV cells attached provided for in subheading 8501.31.80 in Annex I to this</w:t>
      </w:r>
      <w:r>
        <w:rPr>
          <w:spacing w:val="23"/>
          <w:w w:val="110"/>
          <w:sz w:val="20"/>
        </w:rPr>
        <w:t> </w:t>
      </w:r>
      <w:r>
        <w:rPr>
          <w:w w:val="110"/>
          <w:sz w:val="20"/>
        </w:rPr>
        <w:t>proclamation.</w:t>
      </w:r>
    </w:p>
    <w:p>
      <w:pPr>
        <w:pStyle w:val="ListParagraph"/>
        <w:numPr>
          <w:ilvl w:val="0"/>
          <w:numId w:val="1"/>
        </w:numPr>
        <w:tabs>
          <w:tab w:pos="3595" w:val="left" w:leader="none"/>
        </w:tabs>
        <w:spacing w:line="225" w:lineRule="auto" w:before="27" w:after="0"/>
        <w:ind w:left="3340" w:right="119" w:firstLine="0"/>
        <w:jc w:val="both"/>
        <w:rPr>
          <w:sz w:val="20"/>
        </w:rPr>
      </w:pPr>
      <w:r>
        <w:rPr>
          <w:w w:val="105"/>
          <w:sz w:val="20"/>
        </w:rPr>
        <w:t>Pursuant to section 312(a) of the NAFTA Implementation Act (19 U.S.C. 3372(a)), I have determined  after  considering  the  ITC  Report  that  imports  of CSPV products from each of Mexico and Canada, considered individually, account for a substantial share  of  total  imports  and  contribute  importantly  to</w:t>
      </w:r>
      <w:r>
        <w:rPr>
          <w:spacing w:val="8"/>
          <w:w w:val="105"/>
          <w:sz w:val="20"/>
        </w:rPr>
        <w:t> </w:t>
      </w:r>
      <w:r>
        <w:rPr>
          <w:w w:val="105"/>
          <w:sz w:val="20"/>
        </w:rPr>
        <w:t>the</w:t>
      </w:r>
      <w:r>
        <w:rPr>
          <w:spacing w:val="8"/>
          <w:w w:val="105"/>
          <w:sz w:val="20"/>
        </w:rPr>
        <w:t> </w:t>
      </w:r>
      <w:r>
        <w:rPr>
          <w:w w:val="105"/>
          <w:sz w:val="20"/>
        </w:rPr>
        <w:t>serious</w:t>
      </w:r>
      <w:r>
        <w:rPr>
          <w:spacing w:val="8"/>
          <w:w w:val="105"/>
          <w:sz w:val="20"/>
        </w:rPr>
        <w:t> </w:t>
      </w:r>
      <w:r>
        <w:rPr>
          <w:w w:val="105"/>
          <w:sz w:val="20"/>
        </w:rPr>
        <w:t>injury</w:t>
      </w:r>
      <w:r>
        <w:rPr>
          <w:spacing w:val="8"/>
          <w:w w:val="105"/>
          <w:sz w:val="20"/>
        </w:rPr>
        <w:t> </w:t>
      </w:r>
      <w:r>
        <w:rPr>
          <w:w w:val="105"/>
          <w:sz w:val="20"/>
        </w:rPr>
        <w:t>or</w:t>
      </w:r>
      <w:r>
        <w:rPr>
          <w:spacing w:val="8"/>
          <w:w w:val="105"/>
          <w:sz w:val="20"/>
        </w:rPr>
        <w:t> </w:t>
      </w:r>
      <w:r>
        <w:rPr>
          <w:w w:val="105"/>
          <w:sz w:val="20"/>
        </w:rPr>
        <w:t>threat</w:t>
      </w:r>
      <w:r>
        <w:rPr>
          <w:spacing w:val="8"/>
          <w:w w:val="105"/>
          <w:sz w:val="20"/>
        </w:rPr>
        <w:t> </w:t>
      </w:r>
      <w:r>
        <w:rPr>
          <w:w w:val="105"/>
          <w:sz w:val="20"/>
        </w:rPr>
        <w:t>of</w:t>
      </w:r>
      <w:r>
        <w:rPr>
          <w:spacing w:val="8"/>
          <w:w w:val="105"/>
          <w:sz w:val="20"/>
        </w:rPr>
        <w:t> </w:t>
      </w:r>
      <w:r>
        <w:rPr>
          <w:w w:val="105"/>
          <w:sz w:val="20"/>
        </w:rPr>
        <w:t>serious</w:t>
      </w:r>
      <w:r>
        <w:rPr>
          <w:spacing w:val="8"/>
          <w:w w:val="105"/>
          <w:sz w:val="20"/>
        </w:rPr>
        <w:t> </w:t>
      </w:r>
      <w:r>
        <w:rPr>
          <w:w w:val="105"/>
          <w:sz w:val="20"/>
        </w:rPr>
        <w:t>injury</w:t>
      </w:r>
      <w:r>
        <w:rPr>
          <w:spacing w:val="8"/>
          <w:w w:val="105"/>
          <w:sz w:val="20"/>
        </w:rPr>
        <w:t> </w:t>
      </w:r>
      <w:r>
        <w:rPr>
          <w:w w:val="105"/>
          <w:sz w:val="20"/>
        </w:rPr>
        <w:t>found</w:t>
      </w:r>
      <w:r>
        <w:rPr>
          <w:spacing w:val="8"/>
          <w:w w:val="105"/>
          <w:sz w:val="20"/>
        </w:rPr>
        <w:t> </w:t>
      </w:r>
      <w:r>
        <w:rPr>
          <w:w w:val="105"/>
          <w:sz w:val="20"/>
        </w:rPr>
        <w:t>by</w:t>
      </w:r>
      <w:r>
        <w:rPr>
          <w:spacing w:val="8"/>
          <w:w w:val="105"/>
          <w:sz w:val="20"/>
        </w:rPr>
        <w:t> </w:t>
      </w:r>
      <w:r>
        <w:rPr>
          <w:w w:val="105"/>
          <w:sz w:val="20"/>
        </w:rPr>
        <w:t>the</w:t>
      </w:r>
      <w:r>
        <w:rPr>
          <w:spacing w:val="8"/>
          <w:w w:val="105"/>
          <w:sz w:val="20"/>
        </w:rPr>
        <w:t> </w:t>
      </w:r>
      <w:r>
        <w:rPr>
          <w:w w:val="105"/>
          <w:sz w:val="20"/>
        </w:rPr>
        <w:t>ITC.</w:t>
      </w:r>
    </w:p>
    <w:p>
      <w:pPr>
        <w:pStyle w:val="ListParagraph"/>
        <w:numPr>
          <w:ilvl w:val="0"/>
          <w:numId w:val="1"/>
        </w:numPr>
        <w:tabs>
          <w:tab w:pos="3604" w:val="left" w:leader="none"/>
        </w:tabs>
        <w:spacing w:line="225" w:lineRule="auto" w:before="86" w:after="0"/>
        <w:ind w:left="3340" w:right="120" w:firstLine="0"/>
        <w:jc w:val="both"/>
        <w:rPr>
          <w:sz w:val="20"/>
        </w:rPr>
      </w:pPr>
      <w:r>
        <w:rPr>
          <w:w w:val="105"/>
          <w:sz w:val="20"/>
        </w:rPr>
        <w:t>Pursuant to section 203  of  the  Trade  Act,  the  action  I  have  determined  to</w:t>
      </w:r>
      <w:r>
        <w:rPr>
          <w:spacing w:val="6"/>
          <w:w w:val="105"/>
          <w:sz w:val="20"/>
        </w:rPr>
        <w:t> </w:t>
      </w:r>
      <w:r>
        <w:rPr>
          <w:w w:val="105"/>
          <w:sz w:val="20"/>
        </w:rPr>
        <w:t>take</w:t>
      </w:r>
      <w:r>
        <w:rPr>
          <w:spacing w:val="6"/>
          <w:w w:val="105"/>
          <w:sz w:val="20"/>
        </w:rPr>
        <w:t> </w:t>
      </w:r>
      <w:r>
        <w:rPr>
          <w:w w:val="105"/>
          <w:sz w:val="20"/>
        </w:rPr>
        <w:t>shall</w:t>
      </w:r>
      <w:r>
        <w:rPr>
          <w:spacing w:val="6"/>
          <w:w w:val="105"/>
          <w:sz w:val="20"/>
        </w:rPr>
        <w:t> </w:t>
      </w:r>
      <w:r>
        <w:rPr>
          <w:w w:val="105"/>
          <w:sz w:val="20"/>
        </w:rPr>
        <w:t>be</w:t>
      </w:r>
      <w:r>
        <w:rPr>
          <w:spacing w:val="6"/>
          <w:w w:val="105"/>
          <w:sz w:val="20"/>
        </w:rPr>
        <w:t> </w:t>
      </w:r>
      <w:r>
        <w:rPr>
          <w:w w:val="105"/>
          <w:sz w:val="20"/>
        </w:rPr>
        <w:t>a</w:t>
      </w:r>
      <w:r>
        <w:rPr>
          <w:spacing w:val="6"/>
          <w:w w:val="105"/>
          <w:sz w:val="20"/>
        </w:rPr>
        <w:t> </w:t>
      </w:r>
      <w:r>
        <w:rPr>
          <w:w w:val="105"/>
          <w:sz w:val="20"/>
        </w:rPr>
        <w:t>safeguard</w:t>
      </w:r>
      <w:r>
        <w:rPr>
          <w:spacing w:val="6"/>
          <w:w w:val="105"/>
          <w:sz w:val="20"/>
        </w:rPr>
        <w:t> </w:t>
      </w:r>
      <w:r>
        <w:rPr>
          <w:w w:val="105"/>
          <w:sz w:val="20"/>
        </w:rPr>
        <w:t>measure</w:t>
      </w:r>
      <w:r>
        <w:rPr>
          <w:spacing w:val="6"/>
          <w:w w:val="105"/>
          <w:sz w:val="20"/>
        </w:rPr>
        <w:t> </w:t>
      </w:r>
      <w:r>
        <w:rPr>
          <w:w w:val="105"/>
          <w:sz w:val="20"/>
        </w:rPr>
        <w:t>in</w:t>
      </w:r>
      <w:r>
        <w:rPr>
          <w:spacing w:val="6"/>
          <w:w w:val="105"/>
          <w:sz w:val="20"/>
        </w:rPr>
        <w:t> </w:t>
      </w:r>
      <w:r>
        <w:rPr>
          <w:w w:val="105"/>
          <w:sz w:val="20"/>
        </w:rPr>
        <w:t>the</w:t>
      </w:r>
      <w:r>
        <w:rPr>
          <w:spacing w:val="6"/>
          <w:w w:val="105"/>
          <w:sz w:val="20"/>
        </w:rPr>
        <w:t> </w:t>
      </w:r>
      <w:r>
        <w:rPr>
          <w:w w:val="105"/>
          <w:sz w:val="20"/>
        </w:rPr>
        <w:t>form</w:t>
      </w:r>
      <w:r>
        <w:rPr>
          <w:spacing w:val="6"/>
          <w:w w:val="105"/>
          <w:sz w:val="20"/>
        </w:rPr>
        <w:t> </w:t>
      </w:r>
      <w:r>
        <w:rPr>
          <w:w w:val="105"/>
          <w:sz w:val="20"/>
        </w:rPr>
        <w:t>of:</w:t>
      </w:r>
    </w:p>
    <w:p>
      <w:pPr>
        <w:pStyle w:val="ListParagraph"/>
        <w:numPr>
          <w:ilvl w:val="1"/>
          <w:numId w:val="1"/>
        </w:numPr>
        <w:tabs>
          <w:tab w:pos="3850" w:val="left" w:leader="none"/>
        </w:tabs>
        <w:spacing w:line="225" w:lineRule="auto" w:before="28" w:after="0"/>
        <w:ind w:left="3340" w:right="119" w:firstLine="200"/>
        <w:jc w:val="both"/>
        <w:rPr>
          <w:sz w:val="20"/>
        </w:rPr>
      </w:pPr>
      <w:r>
        <w:rPr>
          <w:w w:val="105"/>
          <w:sz w:val="20"/>
        </w:rPr>
        <w:t>a tariff-rate quota on imports of solar cells not partially or fully assem- bled into other products as described in paragraph 6 of this proclamation, imposed for a period of  4  years,  with  unchanging  within-quota  quantities  and  annual  reductions  in  the  rates  of  duty  applicable  to  goods  entered      in excess of those quantities in the second, third,  and  fourth  years,  as  provided</w:t>
      </w:r>
      <w:r>
        <w:rPr>
          <w:spacing w:val="8"/>
          <w:w w:val="105"/>
          <w:sz w:val="20"/>
        </w:rPr>
        <w:t> </w:t>
      </w:r>
      <w:r>
        <w:rPr>
          <w:w w:val="105"/>
          <w:sz w:val="20"/>
        </w:rPr>
        <w:t>in</w:t>
      </w:r>
      <w:r>
        <w:rPr>
          <w:spacing w:val="8"/>
          <w:w w:val="105"/>
          <w:sz w:val="20"/>
        </w:rPr>
        <w:t> </w:t>
      </w:r>
      <w:r>
        <w:rPr>
          <w:w w:val="105"/>
          <w:sz w:val="20"/>
        </w:rPr>
        <w:t>Annex</w:t>
      </w:r>
      <w:r>
        <w:rPr>
          <w:spacing w:val="8"/>
          <w:w w:val="105"/>
          <w:sz w:val="20"/>
        </w:rPr>
        <w:t> </w:t>
      </w:r>
      <w:r>
        <w:rPr>
          <w:w w:val="105"/>
          <w:sz w:val="20"/>
        </w:rPr>
        <w:t>I</w:t>
      </w:r>
      <w:r>
        <w:rPr>
          <w:spacing w:val="8"/>
          <w:w w:val="105"/>
          <w:sz w:val="20"/>
        </w:rPr>
        <w:t> </w:t>
      </w:r>
      <w:r>
        <w:rPr>
          <w:w w:val="105"/>
          <w:sz w:val="20"/>
        </w:rPr>
        <w:t>to</w:t>
      </w:r>
      <w:r>
        <w:rPr>
          <w:spacing w:val="8"/>
          <w:w w:val="105"/>
          <w:sz w:val="20"/>
        </w:rPr>
        <w:t> </w:t>
      </w:r>
      <w:r>
        <w:rPr>
          <w:w w:val="105"/>
          <w:sz w:val="20"/>
        </w:rPr>
        <w:t>this</w:t>
      </w:r>
      <w:r>
        <w:rPr>
          <w:spacing w:val="8"/>
          <w:w w:val="105"/>
          <w:sz w:val="20"/>
        </w:rPr>
        <w:t> </w:t>
      </w:r>
      <w:r>
        <w:rPr>
          <w:w w:val="105"/>
          <w:sz w:val="20"/>
        </w:rPr>
        <w:t>proclamation;</w:t>
      </w:r>
      <w:r>
        <w:rPr>
          <w:spacing w:val="8"/>
          <w:w w:val="105"/>
          <w:sz w:val="20"/>
        </w:rPr>
        <w:t> </w:t>
      </w:r>
      <w:r>
        <w:rPr>
          <w:w w:val="105"/>
          <w:sz w:val="20"/>
        </w:rPr>
        <w:t>and</w:t>
      </w:r>
    </w:p>
    <w:p>
      <w:pPr>
        <w:pStyle w:val="ListParagraph"/>
        <w:numPr>
          <w:ilvl w:val="1"/>
          <w:numId w:val="1"/>
        </w:numPr>
        <w:tabs>
          <w:tab w:pos="3894" w:val="left" w:leader="none"/>
        </w:tabs>
        <w:spacing w:line="225" w:lineRule="auto" w:before="85" w:after="0"/>
        <w:ind w:left="3340" w:right="119" w:firstLine="200"/>
        <w:jc w:val="both"/>
        <w:rPr>
          <w:sz w:val="20"/>
        </w:rPr>
      </w:pPr>
      <w:r>
        <w:rPr>
          <w:w w:val="105"/>
          <w:sz w:val="20"/>
        </w:rPr>
        <w:t>an  increase  in  duties  on  imports  of  modules,  imposed  for  a  period   of  4  years,  with  annual  reductions  in  the  rates  of  duty  in  the  second,  third,</w:t>
      </w:r>
      <w:r>
        <w:rPr>
          <w:spacing w:val="11"/>
          <w:w w:val="105"/>
          <w:sz w:val="20"/>
        </w:rPr>
        <w:t> </w:t>
      </w:r>
      <w:r>
        <w:rPr>
          <w:w w:val="105"/>
          <w:sz w:val="20"/>
        </w:rPr>
        <w:t>and</w:t>
      </w:r>
      <w:r>
        <w:rPr>
          <w:spacing w:val="11"/>
          <w:w w:val="105"/>
          <w:sz w:val="20"/>
        </w:rPr>
        <w:t> </w:t>
      </w:r>
      <w:r>
        <w:rPr>
          <w:w w:val="105"/>
          <w:sz w:val="20"/>
        </w:rPr>
        <w:t>fourth</w:t>
      </w:r>
      <w:r>
        <w:rPr>
          <w:spacing w:val="11"/>
          <w:w w:val="105"/>
          <w:sz w:val="20"/>
        </w:rPr>
        <w:t> </w:t>
      </w:r>
      <w:r>
        <w:rPr>
          <w:w w:val="105"/>
          <w:sz w:val="20"/>
        </w:rPr>
        <w:t>years,</w:t>
      </w:r>
      <w:r>
        <w:rPr>
          <w:spacing w:val="11"/>
          <w:w w:val="105"/>
          <w:sz w:val="20"/>
        </w:rPr>
        <w:t> </w:t>
      </w:r>
      <w:r>
        <w:rPr>
          <w:w w:val="105"/>
          <w:sz w:val="20"/>
        </w:rPr>
        <w:t>as</w:t>
      </w:r>
      <w:r>
        <w:rPr>
          <w:spacing w:val="11"/>
          <w:w w:val="105"/>
          <w:sz w:val="20"/>
        </w:rPr>
        <w:t> </w:t>
      </w:r>
      <w:r>
        <w:rPr>
          <w:w w:val="105"/>
          <w:sz w:val="20"/>
        </w:rPr>
        <w:t>provided</w:t>
      </w:r>
      <w:r>
        <w:rPr>
          <w:spacing w:val="11"/>
          <w:w w:val="105"/>
          <w:sz w:val="20"/>
        </w:rPr>
        <w:t> </w:t>
      </w:r>
      <w:r>
        <w:rPr>
          <w:w w:val="105"/>
          <w:sz w:val="20"/>
        </w:rPr>
        <w:t>in</w:t>
      </w:r>
      <w:r>
        <w:rPr>
          <w:spacing w:val="11"/>
          <w:w w:val="105"/>
          <w:sz w:val="20"/>
        </w:rPr>
        <w:t> </w:t>
      </w:r>
      <w:r>
        <w:rPr>
          <w:w w:val="105"/>
          <w:sz w:val="20"/>
        </w:rPr>
        <w:t>Annex</w:t>
      </w:r>
      <w:r>
        <w:rPr>
          <w:spacing w:val="11"/>
          <w:w w:val="105"/>
          <w:sz w:val="20"/>
        </w:rPr>
        <w:t> </w:t>
      </w:r>
      <w:r>
        <w:rPr>
          <w:w w:val="105"/>
          <w:sz w:val="20"/>
        </w:rPr>
        <w:t>I</w:t>
      </w:r>
      <w:r>
        <w:rPr>
          <w:spacing w:val="11"/>
          <w:w w:val="105"/>
          <w:sz w:val="20"/>
        </w:rPr>
        <w:t> </w:t>
      </w:r>
      <w:r>
        <w:rPr>
          <w:w w:val="105"/>
          <w:sz w:val="20"/>
        </w:rPr>
        <w:t>to</w:t>
      </w:r>
      <w:r>
        <w:rPr>
          <w:spacing w:val="11"/>
          <w:w w:val="105"/>
          <w:sz w:val="20"/>
        </w:rPr>
        <w:t> </w:t>
      </w:r>
      <w:r>
        <w:rPr>
          <w:w w:val="105"/>
          <w:sz w:val="20"/>
        </w:rPr>
        <w:t>this</w:t>
      </w:r>
      <w:r>
        <w:rPr>
          <w:spacing w:val="11"/>
          <w:w w:val="105"/>
          <w:sz w:val="20"/>
        </w:rPr>
        <w:t> </w:t>
      </w:r>
      <w:r>
        <w:rPr>
          <w:w w:val="105"/>
          <w:sz w:val="20"/>
        </w:rPr>
        <w:t>proclamation.</w:t>
      </w:r>
    </w:p>
    <w:p>
      <w:pPr>
        <w:pStyle w:val="BodyText"/>
        <w:spacing w:line="225" w:lineRule="auto" w:before="27"/>
        <w:ind w:left="3340" w:right="118"/>
        <w:jc w:val="both"/>
      </w:pPr>
      <w:r>
        <w:rPr>
          <w:w w:val="105"/>
        </w:rPr>
        <w:t>I have determined to exclude from this action the products listed in subdivi- sion</w:t>
      </w:r>
      <w:r>
        <w:rPr>
          <w:spacing w:val="8"/>
          <w:w w:val="105"/>
        </w:rPr>
        <w:t> </w:t>
      </w:r>
      <w:r>
        <w:rPr>
          <w:w w:val="105"/>
        </w:rPr>
        <w:t>(c)(ii)</w:t>
      </w:r>
      <w:r>
        <w:rPr>
          <w:spacing w:val="8"/>
          <w:w w:val="105"/>
        </w:rPr>
        <w:t> </w:t>
      </w:r>
      <w:r>
        <w:rPr>
          <w:w w:val="105"/>
        </w:rPr>
        <w:t>and</w:t>
      </w:r>
      <w:r>
        <w:rPr>
          <w:spacing w:val="8"/>
          <w:w w:val="105"/>
        </w:rPr>
        <w:t> </w:t>
      </w:r>
      <w:r>
        <w:rPr>
          <w:w w:val="105"/>
        </w:rPr>
        <w:t>(c)(iii)</w:t>
      </w:r>
      <w:r>
        <w:rPr>
          <w:spacing w:val="8"/>
          <w:w w:val="105"/>
        </w:rPr>
        <w:t> </w:t>
      </w:r>
      <w:r>
        <w:rPr>
          <w:w w:val="105"/>
        </w:rPr>
        <w:t>of</w:t>
      </w:r>
      <w:r>
        <w:rPr>
          <w:spacing w:val="8"/>
          <w:w w:val="105"/>
        </w:rPr>
        <w:t> </w:t>
      </w:r>
      <w:r>
        <w:rPr>
          <w:w w:val="105"/>
        </w:rPr>
        <w:t>Note</w:t>
      </w:r>
      <w:r>
        <w:rPr>
          <w:spacing w:val="8"/>
          <w:w w:val="105"/>
        </w:rPr>
        <w:t> </w:t>
      </w:r>
      <w:r>
        <w:rPr>
          <w:w w:val="105"/>
        </w:rPr>
        <w:t>18</w:t>
      </w:r>
      <w:r>
        <w:rPr>
          <w:spacing w:val="8"/>
          <w:w w:val="105"/>
        </w:rPr>
        <w:t> </w:t>
      </w:r>
      <w:r>
        <w:rPr>
          <w:w w:val="105"/>
        </w:rPr>
        <w:t>in</w:t>
      </w:r>
      <w:r>
        <w:rPr>
          <w:spacing w:val="8"/>
          <w:w w:val="105"/>
        </w:rPr>
        <w:t> </w:t>
      </w:r>
      <w:r>
        <w:rPr>
          <w:w w:val="105"/>
        </w:rPr>
        <w:t>Annex</w:t>
      </w:r>
      <w:r>
        <w:rPr>
          <w:spacing w:val="8"/>
          <w:w w:val="105"/>
        </w:rPr>
        <w:t> </w:t>
      </w:r>
      <w:r>
        <w:rPr>
          <w:w w:val="105"/>
        </w:rPr>
        <w:t>I</w:t>
      </w:r>
      <w:r>
        <w:rPr>
          <w:spacing w:val="8"/>
          <w:w w:val="105"/>
        </w:rPr>
        <w:t> </w:t>
      </w:r>
      <w:r>
        <w:rPr>
          <w:w w:val="105"/>
        </w:rPr>
        <w:t>to</w:t>
      </w:r>
      <w:r>
        <w:rPr>
          <w:spacing w:val="8"/>
          <w:w w:val="105"/>
        </w:rPr>
        <w:t> </w:t>
      </w:r>
      <w:r>
        <w:rPr>
          <w:w w:val="105"/>
        </w:rPr>
        <w:t>this</w:t>
      </w:r>
      <w:r>
        <w:rPr>
          <w:spacing w:val="8"/>
          <w:w w:val="105"/>
        </w:rPr>
        <w:t> </w:t>
      </w:r>
      <w:r>
        <w:rPr>
          <w:w w:val="105"/>
        </w:rPr>
        <w:t>proclamation.</w:t>
      </w:r>
    </w:p>
    <w:p>
      <w:pPr>
        <w:pStyle w:val="ListParagraph"/>
        <w:numPr>
          <w:ilvl w:val="0"/>
          <w:numId w:val="1"/>
        </w:numPr>
        <w:tabs>
          <w:tab w:pos="3593" w:val="left" w:leader="none"/>
        </w:tabs>
        <w:spacing w:line="225" w:lineRule="auto" w:before="87" w:after="0"/>
        <w:ind w:left="3340" w:right="117" w:firstLine="0"/>
        <w:jc w:val="both"/>
        <w:rPr>
          <w:sz w:val="20"/>
        </w:rPr>
      </w:pPr>
      <w:r>
        <w:rPr>
          <w:w w:val="105"/>
          <w:sz w:val="20"/>
        </w:rPr>
        <w:t>This safeguard measure shall apply  to  imports  from  all  countries,  except as provided in paragraph 10 of this</w:t>
      </w:r>
      <w:r>
        <w:rPr>
          <w:spacing w:val="13"/>
          <w:w w:val="105"/>
          <w:sz w:val="20"/>
        </w:rPr>
        <w:t> </w:t>
      </w:r>
      <w:r>
        <w:rPr>
          <w:w w:val="105"/>
          <w:sz w:val="20"/>
        </w:rPr>
        <w:t>proclamation.</w:t>
      </w:r>
    </w:p>
    <w:p>
      <w:pPr>
        <w:pStyle w:val="ListParagraph"/>
        <w:numPr>
          <w:ilvl w:val="0"/>
          <w:numId w:val="1"/>
        </w:numPr>
        <w:tabs>
          <w:tab w:pos="3718" w:val="left" w:leader="none"/>
        </w:tabs>
        <w:spacing w:line="225" w:lineRule="auto" w:before="87" w:after="0"/>
        <w:ind w:left="3340" w:right="118" w:firstLine="0"/>
        <w:jc w:val="both"/>
        <w:rPr>
          <w:sz w:val="20"/>
        </w:rPr>
      </w:pPr>
      <w:r>
        <w:rPr>
          <w:w w:val="105"/>
          <w:sz w:val="20"/>
        </w:rPr>
        <w:t>This safeguard measure shall not apply to imports of any product de- scribed  in  paragraph  6  of  this  proclamation  of  a  developing  country  that   is</w:t>
      </w:r>
      <w:r>
        <w:rPr>
          <w:spacing w:val="27"/>
          <w:w w:val="105"/>
          <w:sz w:val="20"/>
        </w:rPr>
        <w:t> </w:t>
      </w:r>
      <w:r>
        <w:rPr>
          <w:w w:val="105"/>
          <w:sz w:val="20"/>
        </w:rPr>
        <w:t>a</w:t>
      </w:r>
      <w:r>
        <w:rPr>
          <w:spacing w:val="27"/>
          <w:w w:val="105"/>
          <w:sz w:val="20"/>
        </w:rPr>
        <w:t> </w:t>
      </w:r>
      <w:r>
        <w:rPr>
          <w:w w:val="105"/>
          <w:sz w:val="20"/>
        </w:rPr>
        <w:t>Member</w:t>
      </w:r>
      <w:r>
        <w:rPr>
          <w:spacing w:val="27"/>
          <w:w w:val="105"/>
          <w:sz w:val="20"/>
        </w:rPr>
        <w:t> </w:t>
      </w:r>
      <w:r>
        <w:rPr>
          <w:w w:val="105"/>
          <w:sz w:val="20"/>
        </w:rPr>
        <w:t>of</w:t>
      </w:r>
      <w:r>
        <w:rPr>
          <w:spacing w:val="27"/>
          <w:w w:val="105"/>
          <w:sz w:val="20"/>
        </w:rPr>
        <w:t> </w:t>
      </w:r>
      <w:r>
        <w:rPr>
          <w:w w:val="105"/>
          <w:sz w:val="20"/>
        </w:rPr>
        <w:t>the</w:t>
      </w:r>
      <w:r>
        <w:rPr>
          <w:spacing w:val="27"/>
          <w:w w:val="105"/>
          <w:sz w:val="20"/>
        </w:rPr>
        <w:t> </w:t>
      </w:r>
      <w:r>
        <w:rPr>
          <w:w w:val="105"/>
          <w:sz w:val="20"/>
        </w:rPr>
        <w:t>World</w:t>
      </w:r>
      <w:r>
        <w:rPr>
          <w:spacing w:val="27"/>
          <w:w w:val="105"/>
          <w:sz w:val="20"/>
        </w:rPr>
        <w:t> </w:t>
      </w:r>
      <w:r>
        <w:rPr>
          <w:w w:val="105"/>
          <w:sz w:val="20"/>
        </w:rPr>
        <w:t>Trade</w:t>
      </w:r>
      <w:r>
        <w:rPr>
          <w:spacing w:val="27"/>
          <w:w w:val="105"/>
          <w:sz w:val="20"/>
        </w:rPr>
        <w:t> </w:t>
      </w:r>
      <w:r>
        <w:rPr>
          <w:w w:val="105"/>
          <w:sz w:val="20"/>
        </w:rPr>
        <w:t>Organization</w:t>
      </w:r>
      <w:r>
        <w:rPr>
          <w:spacing w:val="27"/>
          <w:w w:val="105"/>
          <w:sz w:val="20"/>
        </w:rPr>
        <w:t> </w:t>
      </w:r>
      <w:r>
        <w:rPr>
          <w:w w:val="105"/>
          <w:sz w:val="20"/>
        </w:rPr>
        <w:t>(WTO),</w:t>
      </w:r>
      <w:r>
        <w:rPr>
          <w:spacing w:val="27"/>
          <w:w w:val="105"/>
          <w:sz w:val="20"/>
        </w:rPr>
        <w:t> </w:t>
      </w:r>
      <w:r>
        <w:rPr>
          <w:w w:val="105"/>
          <w:sz w:val="20"/>
        </w:rPr>
        <w:t>as</w:t>
      </w:r>
      <w:r>
        <w:rPr>
          <w:spacing w:val="27"/>
          <w:w w:val="105"/>
          <w:sz w:val="20"/>
        </w:rPr>
        <w:t> </w:t>
      </w:r>
      <w:r>
        <w:rPr>
          <w:w w:val="105"/>
          <w:sz w:val="20"/>
        </w:rPr>
        <w:t>listed</w:t>
      </w:r>
      <w:r>
        <w:rPr>
          <w:spacing w:val="27"/>
          <w:w w:val="105"/>
          <w:sz w:val="20"/>
        </w:rPr>
        <w:t> </w:t>
      </w:r>
      <w:r>
        <w:rPr>
          <w:w w:val="105"/>
          <w:sz w:val="20"/>
        </w:rPr>
        <w:t>in</w:t>
      </w:r>
      <w:r>
        <w:rPr>
          <w:spacing w:val="27"/>
          <w:w w:val="105"/>
          <w:sz w:val="20"/>
        </w:rPr>
        <w:t> </w:t>
      </w:r>
      <w:r>
        <w:rPr>
          <w:w w:val="105"/>
          <w:sz w:val="20"/>
        </w:rPr>
        <w:t>subdivision</w:t>
      </w:r>
    </w:p>
    <w:p>
      <w:pPr>
        <w:pStyle w:val="BodyText"/>
        <w:spacing w:line="225" w:lineRule="auto"/>
        <w:ind w:left="3340" w:right="116"/>
        <w:jc w:val="both"/>
      </w:pPr>
      <w:r>
        <w:rPr>
          <w:w w:val="105"/>
        </w:rPr>
        <w:t>(b) of Note 18 in Annex I to this proclamation, as long  as  such  a</w:t>
      </w:r>
      <w:r>
        <w:rPr>
          <w:spacing w:val="26"/>
          <w:w w:val="105"/>
        </w:rPr>
        <w:t> </w:t>
      </w:r>
      <w:r>
        <w:rPr>
          <w:w w:val="105"/>
        </w:rPr>
        <w:t>country’s share of total imports of the product, based on imports during a recent representative period, does  not  exceed  3  percent,  provided  that  imports  that are the product of all such countries with less than  3  percent  import  share  collectively  account  for  not  more  than  9  percent  of  total  imports      of the product. If I determine that a surge in imports of a product described       in paragraph 6 of this proclamation of a developing country that is a WTO Member results in imports of that product from that developing country exceeding either of the thresholds described in this paragraph, the safeguard measure</w:t>
      </w:r>
      <w:r>
        <w:rPr>
          <w:spacing w:val="32"/>
          <w:w w:val="105"/>
        </w:rPr>
        <w:t> </w:t>
      </w:r>
      <w:r>
        <w:rPr>
          <w:w w:val="105"/>
        </w:rPr>
        <w:t>shall</w:t>
      </w:r>
      <w:r>
        <w:rPr>
          <w:spacing w:val="32"/>
          <w:w w:val="105"/>
        </w:rPr>
        <w:t> </w:t>
      </w:r>
      <w:r>
        <w:rPr>
          <w:w w:val="105"/>
        </w:rPr>
        <w:t>be</w:t>
      </w:r>
      <w:r>
        <w:rPr>
          <w:spacing w:val="32"/>
          <w:w w:val="105"/>
        </w:rPr>
        <w:t> </w:t>
      </w:r>
      <w:r>
        <w:rPr>
          <w:w w:val="105"/>
        </w:rPr>
        <w:t>modified</w:t>
      </w:r>
      <w:r>
        <w:rPr>
          <w:spacing w:val="32"/>
          <w:w w:val="105"/>
        </w:rPr>
        <w:t> </w:t>
      </w:r>
      <w:r>
        <w:rPr>
          <w:w w:val="105"/>
        </w:rPr>
        <w:t>to</w:t>
      </w:r>
      <w:r>
        <w:rPr>
          <w:spacing w:val="32"/>
          <w:w w:val="105"/>
        </w:rPr>
        <w:t> </w:t>
      </w:r>
      <w:r>
        <w:rPr>
          <w:w w:val="105"/>
        </w:rPr>
        <w:t>apply</w:t>
      </w:r>
      <w:r>
        <w:rPr>
          <w:spacing w:val="32"/>
          <w:w w:val="105"/>
        </w:rPr>
        <w:t> </w:t>
      </w:r>
      <w:r>
        <w:rPr>
          <w:w w:val="105"/>
        </w:rPr>
        <w:t>to</w:t>
      </w:r>
      <w:r>
        <w:rPr>
          <w:spacing w:val="32"/>
          <w:w w:val="105"/>
        </w:rPr>
        <w:t> </w:t>
      </w:r>
      <w:r>
        <w:rPr>
          <w:w w:val="105"/>
        </w:rPr>
        <w:t>such</w:t>
      </w:r>
      <w:r>
        <w:rPr>
          <w:spacing w:val="32"/>
          <w:w w:val="105"/>
        </w:rPr>
        <w:t> </w:t>
      </w:r>
      <w:r>
        <w:rPr>
          <w:w w:val="105"/>
        </w:rPr>
        <w:t>product</w:t>
      </w:r>
      <w:r>
        <w:rPr>
          <w:spacing w:val="32"/>
          <w:w w:val="105"/>
        </w:rPr>
        <w:t> </w:t>
      </w:r>
      <w:r>
        <w:rPr>
          <w:w w:val="105"/>
        </w:rPr>
        <w:t>from</w:t>
      </w:r>
      <w:r>
        <w:rPr>
          <w:spacing w:val="32"/>
          <w:w w:val="105"/>
        </w:rPr>
        <w:t> </w:t>
      </w:r>
      <w:r>
        <w:rPr>
          <w:w w:val="105"/>
        </w:rPr>
        <w:t>such</w:t>
      </w:r>
      <w:r>
        <w:rPr>
          <w:spacing w:val="32"/>
          <w:w w:val="105"/>
        </w:rPr>
        <w:t> </w:t>
      </w:r>
      <w:r>
        <w:rPr>
          <w:w w:val="105"/>
        </w:rPr>
        <w:t>country.</w:t>
      </w:r>
    </w:p>
    <w:p>
      <w:pPr>
        <w:pStyle w:val="ListParagraph"/>
        <w:numPr>
          <w:ilvl w:val="0"/>
          <w:numId w:val="1"/>
        </w:numPr>
        <w:tabs>
          <w:tab w:pos="3704" w:val="left" w:leader="none"/>
        </w:tabs>
        <w:spacing w:line="225" w:lineRule="auto" w:before="85" w:after="0"/>
        <w:ind w:left="3340" w:right="118" w:firstLine="0"/>
        <w:jc w:val="both"/>
        <w:rPr>
          <w:sz w:val="20"/>
        </w:rPr>
      </w:pPr>
      <w:r>
        <w:rPr>
          <w:w w:val="105"/>
          <w:sz w:val="20"/>
        </w:rPr>
        <w:t>The in-quota quantity in each year under the tariff-rate quota described      in paragraph 8 of this proclamation shall be allocated among all countries except those countries the products of which are excluded  from  such</w:t>
      </w:r>
      <w:r>
        <w:rPr>
          <w:spacing w:val="18"/>
          <w:w w:val="105"/>
          <w:sz w:val="20"/>
        </w:rPr>
        <w:t> </w:t>
      </w:r>
      <w:r>
        <w:rPr>
          <w:w w:val="105"/>
          <w:sz w:val="20"/>
        </w:rPr>
        <w:t>tariff- rate</w:t>
      </w:r>
      <w:r>
        <w:rPr>
          <w:spacing w:val="6"/>
          <w:w w:val="105"/>
          <w:sz w:val="20"/>
        </w:rPr>
        <w:t> </w:t>
      </w:r>
      <w:r>
        <w:rPr>
          <w:w w:val="105"/>
          <w:sz w:val="20"/>
        </w:rPr>
        <w:t>quota</w:t>
      </w:r>
      <w:r>
        <w:rPr>
          <w:spacing w:val="6"/>
          <w:w w:val="105"/>
          <w:sz w:val="20"/>
        </w:rPr>
        <w:t> </w:t>
      </w:r>
      <w:r>
        <w:rPr>
          <w:w w:val="105"/>
          <w:sz w:val="20"/>
        </w:rPr>
        <w:t>pursuant</w:t>
      </w:r>
      <w:r>
        <w:rPr>
          <w:spacing w:val="6"/>
          <w:w w:val="105"/>
          <w:sz w:val="20"/>
        </w:rPr>
        <w:t> </w:t>
      </w:r>
      <w:r>
        <w:rPr>
          <w:w w:val="105"/>
          <w:sz w:val="20"/>
        </w:rPr>
        <w:t>to</w:t>
      </w:r>
      <w:r>
        <w:rPr>
          <w:spacing w:val="6"/>
          <w:w w:val="105"/>
          <w:sz w:val="20"/>
        </w:rPr>
        <w:t> </w:t>
      </w:r>
      <w:r>
        <w:rPr>
          <w:w w:val="105"/>
          <w:sz w:val="20"/>
        </w:rPr>
        <w:t>paragraph</w:t>
      </w:r>
      <w:r>
        <w:rPr>
          <w:spacing w:val="6"/>
          <w:w w:val="105"/>
          <w:sz w:val="20"/>
        </w:rPr>
        <w:t> </w:t>
      </w:r>
      <w:r>
        <w:rPr>
          <w:w w:val="105"/>
          <w:sz w:val="20"/>
        </w:rPr>
        <w:t>10</w:t>
      </w:r>
      <w:r>
        <w:rPr>
          <w:spacing w:val="6"/>
          <w:w w:val="105"/>
          <w:sz w:val="20"/>
        </w:rPr>
        <w:t> </w:t>
      </w:r>
      <w:r>
        <w:rPr>
          <w:w w:val="105"/>
          <w:sz w:val="20"/>
        </w:rPr>
        <w:t>of</w:t>
      </w:r>
      <w:r>
        <w:rPr>
          <w:spacing w:val="6"/>
          <w:w w:val="105"/>
          <w:sz w:val="20"/>
        </w:rPr>
        <w:t> </w:t>
      </w:r>
      <w:r>
        <w:rPr>
          <w:w w:val="105"/>
          <w:sz w:val="20"/>
        </w:rPr>
        <w:t>this</w:t>
      </w:r>
      <w:r>
        <w:rPr>
          <w:spacing w:val="6"/>
          <w:w w:val="105"/>
          <w:sz w:val="20"/>
        </w:rPr>
        <w:t> </w:t>
      </w:r>
      <w:r>
        <w:rPr>
          <w:w w:val="105"/>
          <w:sz w:val="20"/>
        </w:rPr>
        <w:t>proclamation.</w:t>
      </w:r>
    </w:p>
    <w:p>
      <w:pPr>
        <w:pStyle w:val="ListParagraph"/>
        <w:numPr>
          <w:ilvl w:val="0"/>
          <w:numId w:val="1"/>
        </w:numPr>
        <w:tabs>
          <w:tab w:pos="3677" w:val="left" w:leader="none"/>
        </w:tabs>
        <w:spacing w:line="225" w:lineRule="auto" w:before="88" w:after="0"/>
        <w:ind w:left="3340" w:right="114" w:firstLine="0"/>
        <w:jc w:val="both"/>
        <w:rPr>
          <w:sz w:val="20"/>
        </w:rPr>
      </w:pPr>
      <w:r>
        <w:rPr>
          <w:w w:val="110"/>
          <w:sz w:val="20"/>
        </w:rPr>
        <w:t>Pursuant</w:t>
      </w:r>
      <w:r>
        <w:rPr>
          <w:spacing w:val="-26"/>
          <w:w w:val="110"/>
          <w:sz w:val="20"/>
        </w:rPr>
        <w:t> </w:t>
      </w:r>
      <w:r>
        <w:rPr>
          <w:w w:val="110"/>
          <w:sz w:val="20"/>
        </w:rPr>
        <w:t>to</w:t>
      </w:r>
      <w:r>
        <w:rPr>
          <w:spacing w:val="-26"/>
          <w:w w:val="110"/>
          <w:sz w:val="20"/>
        </w:rPr>
        <w:t> </w:t>
      </w:r>
      <w:r>
        <w:rPr>
          <w:w w:val="110"/>
          <w:sz w:val="20"/>
        </w:rPr>
        <w:t>section</w:t>
      </w:r>
      <w:r>
        <w:rPr>
          <w:spacing w:val="-26"/>
          <w:w w:val="110"/>
          <w:sz w:val="20"/>
        </w:rPr>
        <w:t> </w:t>
      </w:r>
      <w:r>
        <w:rPr>
          <w:w w:val="110"/>
          <w:sz w:val="20"/>
        </w:rPr>
        <w:t>203(a)(1)(A)</w:t>
      </w:r>
      <w:r>
        <w:rPr>
          <w:spacing w:val="-26"/>
          <w:w w:val="110"/>
          <w:sz w:val="20"/>
        </w:rPr>
        <w:t> </w:t>
      </w:r>
      <w:r>
        <w:rPr>
          <w:w w:val="110"/>
          <w:sz w:val="20"/>
        </w:rPr>
        <w:t>of</w:t>
      </w:r>
      <w:r>
        <w:rPr>
          <w:spacing w:val="-26"/>
          <w:w w:val="110"/>
          <w:sz w:val="20"/>
        </w:rPr>
        <w:t> </w:t>
      </w:r>
      <w:r>
        <w:rPr>
          <w:w w:val="110"/>
          <w:sz w:val="20"/>
        </w:rPr>
        <w:t>the</w:t>
      </w:r>
      <w:r>
        <w:rPr>
          <w:spacing w:val="-26"/>
          <w:w w:val="110"/>
          <w:sz w:val="20"/>
        </w:rPr>
        <w:t> </w:t>
      </w:r>
      <w:r>
        <w:rPr>
          <w:w w:val="110"/>
          <w:sz w:val="20"/>
        </w:rPr>
        <w:t>Trade</w:t>
      </w:r>
      <w:r>
        <w:rPr>
          <w:spacing w:val="-26"/>
          <w:w w:val="110"/>
          <w:sz w:val="20"/>
        </w:rPr>
        <w:t> </w:t>
      </w:r>
      <w:r>
        <w:rPr>
          <w:w w:val="110"/>
          <w:sz w:val="20"/>
        </w:rPr>
        <w:t>Act</w:t>
      </w:r>
      <w:r>
        <w:rPr>
          <w:spacing w:val="-26"/>
          <w:w w:val="110"/>
          <w:sz w:val="20"/>
        </w:rPr>
        <w:t> </w:t>
      </w:r>
      <w:r>
        <w:rPr>
          <w:w w:val="110"/>
          <w:sz w:val="20"/>
        </w:rPr>
        <w:t>(19</w:t>
      </w:r>
      <w:r>
        <w:rPr>
          <w:spacing w:val="-26"/>
          <w:w w:val="110"/>
          <w:sz w:val="20"/>
        </w:rPr>
        <w:t> </w:t>
      </w:r>
      <w:r>
        <w:rPr>
          <w:w w:val="110"/>
          <w:sz w:val="20"/>
        </w:rPr>
        <w:t>U.S.C.</w:t>
      </w:r>
      <w:r>
        <w:rPr>
          <w:spacing w:val="-26"/>
          <w:w w:val="110"/>
          <w:sz w:val="20"/>
        </w:rPr>
        <w:t> </w:t>
      </w:r>
      <w:r>
        <w:rPr>
          <w:w w:val="110"/>
          <w:sz w:val="20"/>
        </w:rPr>
        <w:t>2253(a)(1)(A)), I have determined that this safeguard measure will facilitate efforts by the domestic industry to make a positive adjustment to  import  competition  and provide greater economic and social benefits than costs. If I determine that further action is appropriate and feasible to facilitate efforts by</w:t>
      </w:r>
      <w:r>
        <w:rPr>
          <w:spacing w:val="35"/>
          <w:w w:val="110"/>
          <w:sz w:val="20"/>
        </w:rPr>
        <w:t> </w:t>
      </w:r>
      <w:r>
        <w:rPr>
          <w:w w:val="110"/>
          <w:sz w:val="20"/>
        </w:rPr>
        <w:t>the domestic industry to make a positive adjustment to  import  competition  and to provide greater economic and social benefits than costs, or if I determine that the conditions under section  204(b)(1)  of  the  Trade  Act (19 U.S.C. 2254(b)(1)) are met, I shall reduce, modify, or terminate the  action</w:t>
      </w:r>
      <w:r>
        <w:rPr>
          <w:spacing w:val="-8"/>
          <w:w w:val="110"/>
          <w:sz w:val="20"/>
        </w:rPr>
        <w:t> </w:t>
      </w:r>
      <w:r>
        <w:rPr>
          <w:w w:val="110"/>
          <w:sz w:val="20"/>
        </w:rPr>
        <w:t>established</w:t>
      </w:r>
      <w:r>
        <w:rPr>
          <w:spacing w:val="-8"/>
          <w:w w:val="110"/>
          <w:sz w:val="20"/>
        </w:rPr>
        <w:t> </w:t>
      </w:r>
      <w:r>
        <w:rPr>
          <w:w w:val="110"/>
          <w:sz w:val="20"/>
        </w:rPr>
        <w:t>in</w:t>
      </w:r>
      <w:r>
        <w:rPr>
          <w:spacing w:val="-8"/>
          <w:w w:val="110"/>
          <w:sz w:val="20"/>
        </w:rPr>
        <w:t> </w:t>
      </w:r>
      <w:r>
        <w:rPr>
          <w:w w:val="110"/>
          <w:sz w:val="20"/>
        </w:rPr>
        <w:t>this</w:t>
      </w:r>
      <w:r>
        <w:rPr>
          <w:spacing w:val="-8"/>
          <w:w w:val="110"/>
          <w:sz w:val="20"/>
        </w:rPr>
        <w:t> </w:t>
      </w:r>
      <w:r>
        <w:rPr>
          <w:w w:val="110"/>
          <w:sz w:val="20"/>
        </w:rPr>
        <w:t>proclamation</w:t>
      </w:r>
      <w:r>
        <w:rPr>
          <w:spacing w:val="-8"/>
          <w:w w:val="110"/>
          <w:sz w:val="20"/>
        </w:rPr>
        <w:t> </w:t>
      </w:r>
      <w:r>
        <w:rPr>
          <w:w w:val="110"/>
          <w:sz w:val="20"/>
        </w:rPr>
        <w:t>accordingly.</w:t>
      </w:r>
      <w:r>
        <w:rPr>
          <w:spacing w:val="-8"/>
          <w:w w:val="110"/>
          <w:sz w:val="20"/>
        </w:rPr>
        <w:t> </w:t>
      </w:r>
      <w:r>
        <w:rPr>
          <w:w w:val="110"/>
          <w:sz w:val="20"/>
        </w:rPr>
        <w:t>In</w:t>
      </w:r>
      <w:r>
        <w:rPr>
          <w:spacing w:val="-8"/>
          <w:w w:val="110"/>
          <w:sz w:val="20"/>
        </w:rPr>
        <w:t> </w:t>
      </w:r>
      <w:r>
        <w:rPr>
          <w:w w:val="110"/>
          <w:sz w:val="20"/>
        </w:rPr>
        <w:t>addition,</w:t>
      </w:r>
      <w:r>
        <w:rPr>
          <w:spacing w:val="-8"/>
          <w:w w:val="110"/>
          <w:sz w:val="20"/>
        </w:rPr>
        <w:t> </w:t>
      </w:r>
      <w:r>
        <w:rPr>
          <w:w w:val="110"/>
          <w:sz w:val="20"/>
        </w:rPr>
        <w:t>if</w:t>
      </w:r>
      <w:r>
        <w:rPr>
          <w:spacing w:val="-8"/>
          <w:w w:val="110"/>
          <w:sz w:val="20"/>
        </w:rPr>
        <w:t> </w:t>
      </w:r>
      <w:r>
        <w:rPr>
          <w:w w:val="110"/>
          <w:sz w:val="20"/>
        </w:rPr>
        <w:t>I</w:t>
      </w:r>
      <w:r>
        <w:rPr>
          <w:spacing w:val="-8"/>
          <w:w w:val="110"/>
          <w:sz w:val="20"/>
        </w:rPr>
        <w:t> </w:t>
      </w:r>
      <w:r>
        <w:rPr>
          <w:w w:val="110"/>
          <w:sz w:val="20"/>
        </w:rPr>
        <w:t>determine within 30 days of the date of this proclamation, as a result of consultations between the United States and other WTO Members pursuant to</w:t>
      </w:r>
      <w:r>
        <w:rPr>
          <w:spacing w:val="16"/>
          <w:w w:val="110"/>
          <w:sz w:val="20"/>
        </w:rPr>
        <w:t> </w:t>
      </w:r>
      <w:r>
        <w:rPr>
          <w:w w:val="110"/>
          <w:sz w:val="20"/>
        </w:rPr>
        <w:t>Article</w:t>
      </w:r>
    </w:p>
    <w:p>
      <w:pPr>
        <w:spacing w:after="0" w:line="225" w:lineRule="auto"/>
        <w:jc w:val="both"/>
        <w:rPr>
          <w:sz w:val="20"/>
        </w:rPr>
        <w:sectPr>
          <w:pgSz w:w="12240" w:h="15840"/>
          <w:pgMar w:header="627" w:footer="0" w:top="1040" w:bottom="280" w:left="800" w:right="780"/>
        </w:sectPr>
      </w:pPr>
    </w:p>
    <w:p>
      <w:pPr>
        <w:pStyle w:val="BodyText"/>
        <w:spacing w:before="7"/>
        <w:rPr>
          <w:sz w:val="3"/>
        </w:rPr>
      </w:pPr>
    </w:p>
    <w:p>
      <w:pPr>
        <w:pStyle w:val="BodyText"/>
        <w:spacing w:line="105" w:lineRule="exact"/>
        <w:ind w:left="78"/>
        <w:rPr>
          <w:sz w:val="10"/>
        </w:rPr>
      </w:pPr>
      <w:r>
        <w:rPr>
          <w:position w:val="-1"/>
          <w:sz w:val="10"/>
        </w:rPr>
        <w:pict>
          <v:group style="width:522pt;height:5.25pt;mso-position-horizontal-relative:char;mso-position-vertical-relative:line" coordorigin="0,0" coordsize="10440,105">
            <v:line style="position:absolute" from="0,22" to="10440,22" stroked="true" strokeweight="2.2pt" strokecolor="#000000">
              <v:stroke dashstyle="solid"/>
            </v:line>
            <v:line style="position:absolute" from="0,102" to="10440,102" stroked="true" strokeweight=".3pt" strokecolor="#000000">
              <v:stroke dashstyle="solid"/>
            </v:line>
          </v:group>
        </w:pict>
      </w:r>
      <w:r>
        <w:rPr>
          <w:position w:val="-1"/>
          <w:sz w:val="10"/>
        </w:rPr>
      </w:r>
    </w:p>
    <w:p>
      <w:pPr>
        <w:pStyle w:val="BodyText"/>
        <w:spacing w:line="225" w:lineRule="auto" w:before="138"/>
        <w:ind w:left="3340" w:right="118"/>
        <w:jc w:val="both"/>
      </w:pPr>
      <w:r>
        <w:rPr>
          <w:w w:val="105"/>
        </w:rPr>
        <w:t>12.3 of the WTO Agreement on Safeguards, that it is necessary to reduce, modify, or terminate the safeguard measure, I shall proclaim the cor- responding reduction, modification, or termination of the safeguard measure within 40</w:t>
      </w:r>
      <w:r>
        <w:rPr>
          <w:spacing w:val="15"/>
          <w:w w:val="105"/>
        </w:rPr>
        <w:t> </w:t>
      </w:r>
      <w:r>
        <w:rPr>
          <w:w w:val="105"/>
        </w:rPr>
        <w:t>days.</w:t>
      </w:r>
    </w:p>
    <w:p>
      <w:pPr>
        <w:pStyle w:val="ListParagraph"/>
        <w:numPr>
          <w:ilvl w:val="0"/>
          <w:numId w:val="1"/>
        </w:numPr>
        <w:tabs>
          <w:tab w:pos="3709" w:val="left" w:leader="none"/>
        </w:tabs>
        <w:spacing w:line="225" w:lineRule="auto" w:before="87" w:after="0"/>
        <w:ind w:left="3340" w:right="116" w:firstLine="0"/>
        <w:jc w:val="both"/>
        <w:rPr>
          <w:sz w:val="20"/>
        </w:rPr>
      </w:pPr>
      <w:r>
        <w:rPr>
          <w:w w:val="110"/>
          <w:sz w:val="20"/>
        </w:rPr>
        <w:t>Section 502 of the Trade Act (19 U.S.C. 2462) authorizes the President   to designate countries as beneficiary developing countries for purposes of the Generalized System of Preferences</w:t>
      </w:r>
      <w:r>
        <w:rPr>
          <w:spacing w:val="17"/>
          <w:w w:val="110"/>
          <w:sz w:val="20"/>
        </w:rPr>
        <w:t> </w:t>
      </w:r>
      <w:r>
        <w:rPr>
          <w:w w:val="110"/>
          <w:sz w:val="20"/>
        </w:rPr>
        <w:t>(GSP).</w:t>
      </w:r>
    </w:p>
    <w:p>
      <w:pPr>
        <w:pStyle w:val="ListParagraph"/>
        <w:numPr>
          <w:ilvl w:val="0"/>
          <w:numId w:val="1"/>
        </w:numPr>
        <w:tabs>
          <w:tab w:pos="3682" w:val="left" w:leader="none"/>
        </w:tabs>
        <w:spacing w:line="225" w:lineRule="auto" w:before="87" w:after="0"/>
        <w:ind w:left="3340" w:right="114" w:firstLine="0"/>
        <w:jc w:val="both"/>
        <w:rPr>
          <w:sz w:val="20"/>
        </w:rPr>
      </w:pPr>
      <w:r>
        <w:rPr>
          <w:w w:val="105"/>
          <w:sz w:val="20"/>
        </w:rPr>
        <w:t>Proclamation 9687 of December 22, 2017, ended the suspension of Argen- tina’s designation as a GSP beneficiary developing country. That proclamation made  corresponding  modifications  to  the  Harmonized  Tariff   Schedule </w:t>
      </w:r>
      <w:r>
        <w:rPr>
          <w:spacing w:val="30"/>
          <w:w w:val="105"/>
          <w:sz w:val="20"/>
        </w:rPr>
        <w:t> </w:t>
      </w:r>
      <w:r>
        <w:rPr>
          <w:w w:val="105"/>
          <w:sz w:val="20"/>
        </w:rPr>
        <w:t>of the United States  (HTS).  Those  modifications  included  technical  errors,  and  I have determined that modifications to the HTS are  necessary  to  correct  them.</w:t>
      </w:r>
    </w:p>
    <w:p>
      <w:pPr>
        <w:pStyle w:val="ListParagraph"/>
        <w:numPr>
          <w:ilvl w:val="0"/>
          <w:numId w:val="1"/>
        </w:numPr>
        <w:tabs>
          <w:tab w:pos="3704" w:val="left" w:leader="none"/>
        </w:tabs>
        <w:spacing w:line="225" w:lineRule="auto" w:before="85" w:after="0"/>
        <w:ind w:left="3340" w:right="119" w:firstLine="0"/>
        <w:jc w:val="both"/>
        <w:rPr>
          <w:sz w:val="20"/>
        </w:rPr>
      </w:pPr>
      <w:r>
        <w:rPr>
          <w:w w:val="110"/>
          <w:sz w:val="20"/>
        </w:rPr>
        <w:t>Section 604 of the Trade Act (19 U.S.C. 2483), authorizes the President  to embody in the HTS the substance  of  the  relevant  provisions  of  that  Act, and of other acts affecting import treatment, and actions thereunder, including the removal, modification, continuance, or imposition of any rate of duty or other import</w:t>
      </w:r>
      <w:r>
        <w:rPr>
          <w:spacing w:val="18"/>
          <w:w w:val="110"/>
          <w:sz w:val="20"/>
        </w:rPr>
        <w:t> </w:t>
      </w:r>
      <w:r>
        <w:rPr>
          <w:w w:val="110"/>
          <w:sz w:val="20"/>
        </w:rPr>
        <w:t>restriction.</w:t>
      </w:r>
    </w:p>
    <w:p>
      <w:pPr>
        <w:pStyle w:val="BodyText"/>
        <w:spacing w:line="225" w:lineRule="auto" w:before="86"/>
        <w:ind w:left="3340" w:right="117"/>
        <w:jc w:val="both"/>
      </w:pPr>
      <w:r>
        <w:rPr>
          <w:w w:val="110"/>
        </w:rPr>
        <w:t>NOW, THEREFORE, I, DONALD  J.  TRUMP,  President  of  the  United  States of America, acting under the authority vested in  me  by  the  Constitution and the laws of the United States, including but  not  limited  to  sections  203, 502, and 604 of the Trade Act, and section  301  of  title  3,  United  States Code, do proclaim</w:t>
      </w:r>
      <w:r>
        <w:rPr>
          <w:spacing w:val="18"/>
          <w:w w:val="110"/>
        </w:rPr>
        <w:t> </w:t>
      </w:r>
      <w:r>
        <w:rPr>
          <w:w w:val="110"/>
        </w:rPr>
        <w:t>that:</w:t>
      </w:r>
    </w:p>
    <w:p>
      <w:pPr>
        <w:pStyle w:val="ListParagraph"/>
        <w:numPr>
          <w:ilvl w:val="0"/>
          <w:numId w:val="2"/>
        </w:numPr>
        <w:tabs>
          <w:tab w:pos="3852" w:val="left" w:leader="none"/>
        </w:tabs>
        <w:spacing w:line="225" w:lineRule="auto" w:before="26" w:after="0"/>
        <w:ind w:left="3540" w:right="118" w:firstLine="0"/>
        <w:jc w:val="both"/>
        <w:rPr>
          <w:sz w:val="20"/>
        </w:rPr>
      </w:pPr>
      <w:r>
        <w:rPr>
          <w:w w:val="105"/>
          <w:sz w:val="20"/>
        </w:rPr>
        <w:t>In order to establish increases in duty and a tariff-rate quota on imports  of the CSPV products described in paragraph 6 of this proclamation (other than excluded products), subchapter III of chapter 99 of the HTS is modi-    fied as provided in Annex I to this proclamation. Any merchandise subject      to the safeguard  measure  that  is  admitted  into  U.S.  foreign  trade  zones  on or after 12:01 a.m.  eastern  standard  time  on  February  7,  2018,  must  be admitted as ‘‘privileged foreign status’’  as  defined  in  19  CFR  146.41,  and will be subject upon entry for consumption to any quantitative restric- tions or tariffs related to the classification under the applicable HTS subheading.</w:t>
      </w:r>
    </w:p>
    <w:p>
      <w:pPr>
        <w:pStyle w:val="ListParagraph"/>
        <w:numPr>
          <w:ilvl w:val="0"/>
          <w:numId w:val="2"/>
        </w:numPr>
        <w:tabs>
          <w:tab w:pos="3900" w:val="left" w:leader="none"/>
        </w:tabs>
        <w:spacing w:line="225" w:lineRule="auto" w:before="84" w:after="0"/>
        <w:ind w:left="3540" w:right="116" w:firstLine="0"/>
        <w:jc w:val="both"/>
        <w:rPr>
          <w:sz w:val="20"/>
        </w:rPr>
      </w:pPr>
      <w:r>
        <w:rPr>
          <w:w w:val="105"/>
          <w:sz w:val="20"/>
        </w:rPr>
        <w:t>Except  as  provided  in  clause  (3)  below,  imports  of  CSPV  products    of WTO  Member  developing  countries,  as  listed  in  subdivision  (b) </w:t>
      </w:r>
      <w:r>
        <w:rPr>
          <w:spacing w:val="36"/>
          <w:w w:val="105"/>
          <w:sz w:val="20"/>
        </w:rPr>
        <w:t> </w:t>
      </w:r>
      <w:r>
        <w:rPr>
          <w:w w:val="105"/>
          <w:sz w:val="20"/>
        </w:rPr>
        <w:t>of Note 18 in Annex I to this proclamation, shall be excluded  from  the  safeguard measure established in this  proclamation.  Imports  of  solar</w:t>
      </w:r>
      <w:r>
        <w:rPr>
          <w:spacing w:val="23"/>
          <w:w w:val="105"/>
          <w:sz w:val="20"/>
        </w:rPr>
        <w:t> </w:t>
      </w:r>
      <w:r>
        <w:rPr>
          <w:w w:val="105"/>
          <w:sz w:val="20"/>
        </w:rPr>
        <w:t>cells of those countries that are not partially or fully assembled into other  products shall not be counted toward  the  tariff-rate  quota  limits  that  trigger the over-quota rates of</w:t>
      </w:r>
      <w:r>
        <w:rPr>
          <w:spacing w:val="35"/>
          <w:w w:val="105"/>
          <w:sz w:val="20"/>
        </w:rPr>
        <w:t> </w:t>
      </w:r>
      <w:r>
        <w:rPr>
          <w:w w:val="105"/>
          <w:sz w:val="20"/>
        </w:rPr>
        <w:t>duties.</w:t>
      </w:r>
    </w:p>
    <w:p>
      <w:pPr>
        <w:pStyle w:val="ListParagraph"/>
        <w:numPr>
          <w:ilvl w:val="0"/>
          <w:numId w:val="2"/>
        </w:numPr>
        <w:tabs>
          <w:tab w:pos="3882" w:val="left" w:leader="none"/>
        </w:tabs>
        <w:spacing w:line="225" w:lineRule="auto" w:before="85" w:after="0"/>
        <w:ind w:left="3540" w:right="119" w:firstLine="0"/>
        <w:jc w:val="both"/>
        <w:rPr>
          <w:sz w:val="20"/>
        </w:rPr>
      </w:pPr>
      <w:r>
        <w:rPr>
          <w:w w:val="105"/>
          <w:sz w:val="20"/>
        </w:rPr>
        <w:t>If, after the safeguard measure established in this proclamation takes effect, the USTR determines</w:t>
      </w:r>
      <w:r>
        <w:rPr>
          <w:spacing w:val="33"/>
          <w:w w:val="105"/>
          <w:sz w:val="20"/>
        </w:rPr>
        <w:t> </w:t>
      </w:r>
      <w:r>
        <w:rPr>
          <w:w w:val="105"/>
          <w:sz w:val="20"/>
        </w:rPr>
        <w:t>that:</w:t>
      </w:r>
    </w:p>
    <w:p>
      <w:pPr>
        <w:pStyle w:val="ListParagraph"/>
        <w:numPr>
          <w:ilvl w:val="0"/>
          <w:numId w:val="3"/>
        </w:numPr>
        <w:tabs>
          <w:tab w:pos="3849" w:val="left" w:leader="none"/>
        </w:tabs>
        <w:spacing w:line="225" w:lineRule="auto" w:before="27" w:after="0"/>
        <w:ind w:left="3340" w:right="118" w:firstLine="200"/>
        <w:jc w:val="both"/>
        <w:rPr>
          <w:sz w:val="20"/>
        </w:rPr>
      </w:pPr>
      <w:r>
        <w:rPr>
          <w:w w:val="105"/>
          <w:sz w:val="20"/>
        </w:rPr>
        <w:t>the share of total imports of the product of a country listed in subdivi-  sion</w:t>
      </w:r>
      <w:r>
        <w:rPr>
          <w:spacing w:val="30"/>
          <w:w w:val="105"/>
          <w:sz w:val="20"/>
        </w:rPr>
        <w:t> </w:t>
      </w:r>
      <w:r>
        <w:rPr>
          <w:w w:val="105"/>
          <w:sz w:val="20"/>
        </w:rPr>
        <w:t>(b)</w:t>
      </w:r>
      <w:r>
        <w:rPr>
          <w:spacing w:val="30"/>
          <w:w w:val="105"/>
          <w:sz w:val="20"/>
        </w:rPr>
        <w:t> </w:t>
      </w:r>
      <w:r>
        <w:rPr>
          <w:w w:val="105"/>
          <w:sz w:val="20"/>
        </w:rPr>
        <w:t>of</w:t>
      </w:r>
      <w:r>
        <w:rPr>
          <w:spacing w:val="30"/>
          <w:w w:val="105"/>
          <w:sz w:val="20"/>
        </w:rPr>
        <w:t> </w:t>
      </w:r>
      <w:r>
        <w:rPr>
          <w:w w:val="105"/>
          <w:sz w:val="20"/>
        </w:rPr>
        <w:t>Note</w:t>
      </w:r>
      <w:r>
        <w:rPr>
          <w:spacing w:val="30"/>
          <w:w w:val="105"/>
          <w:sz w:val="20"/>
        </w:rPr>
        <w:t> </w:t>
      </w:r>
      <w:r>
        <w:rPr>
          <w:w w:val="105"/>
          <w:sz w:val="20"/>
        </w:rPr>
        <w:t>18</w:t>
      </w:r>
      <w:r>
        <w:rPr>
          <w:spacing w:val="30"/>
          <w:w w:val="105"/>
          <w:sz w:val="20"/>
        </w:rPr>
        <w:t> </w:t>
      </w:r>
      <w:r>
        <w:rPr>
          <w:w w:val="105"/>
          <w:sz w:val="20"/>
        </w:rPr>
        <w:t>in</w:t>
      </w:r>
      <w:r>
        <w:rPr>
          <w:spacing w:val="30"/>
          <w:w w:val="105"/>
          <w:sz w:val="20"/>
        </w:rPr>
        <w:t> </w:t>
      </w:r>
      <w:r>
        <w:rPr>
          <w:w w:val="105"/>
          <w:sz w:val="20"/>
        </w:rPr>
        <w:t>Annex</w:t>
      </w:r>
      <w:r>
        <w:rPr>
          <w:spacing w:val="30"/>
          <w:w w:val="105"/>
          <w:sz w:val="20"/>
        </w:rPr>
        <w:t> </w:t>
      </w:r>
      <w:r>
        <w:rPr>
          <w:w w:val="105"/>
          <w:sz w:val="20"/>
        </w:rPr>
        <w:t>I</w:t>
      </w:r>
      <w:r>
        <w:rPr>
          <w:spacing w:val="30"/>
          <w:w w:val="105"/>
          <w:sz w:val="20"/>
        </w:rPr>
        <w:t> </w:t>
      </w:r>
      <w:r>
        <w:rPr>
          <w:w w:val="105"/>
          <w:sz w:val="20"/>
        </w:rPr>
        <w:t>to</w:t>
      </w:r>
      <w:r>
        <w:rPr>
          <w:spacing w:val="30"/>
          <w:w w:val="105"/>
          <w:sz w:val="20"/>
        </w:rPr>
        <w:t> </w:t>
      </w:r>
      <w:r>
        <w:rPr>
          <w:w w:val="105"/>
          <w:sz w:val="20"/>
        </w:rPr>
        <w:t>this</w:t>
      </w:r>
      <w:r>
        <w:rPr>
          <w:spacing w:val="30"/>
          <w:w w:val="105"/>
          <w:sz w:val="20"/>
        </w:rPr>
        <w:t> </w:t>
      </w:r>
      <w:r>
        <w:rPr>
          <w:w w:val="105"/>
          <w:sz w:val="20"/>
        </w:rPr>
        <w:t>proclamation</w:t>
      </w:r>
      <w:r>
        <w:rPr>
          <w:spacing w:val="30"/>
          <w:w w:val="105"/>
          <w:sz w:val="20"/>
        </w:rPr>
        <w:t> </w:t>
      </w:r>
      <w:r>
        <w:rPr>
          <w:w w:val="105"/>
          <w:sz w:val="20"/>
        </w:rPr>
        <w:t>exceeds</w:t>
      </w:r>
      <w:r>
        <w:rPr>
          <w:spacing w:val="30"/>
          <w:w w:val="105"/>
          <w:sz w:val="20"/>
        </w:rPr>
        <w:t> </w:t>
      </w:r>
      <w:r>
        <w:rPr>
          <w:w w:val="105"/>
          <w:sz w:val="20"/>
        </w:rPr>
        <w:t>3</w:t>
      </w:r>
      <w:r>
        <w:rPr>
          <w:spacing w:val="30"/>
          <w:w w:val="105"/>
          <w:sz w:val="20"/>
        </w:rPr>
        <w:t> </w:t>
      </w:r>
      <w:r>
        <w:rPr>
          <w:w w:val="105"/>
          <w:sz w:val="20"/>
        </w:rPr>
        <w:t>percent,</w:t>
      </w:r>
    </w:p>
    <w:p>
      <w:pPr>
        <w:pStyle w:val="ListParagraph"/>
        <w:numPr>
          <w:ilvl w:val="0"/>
          <w:numId w:val="3"/>
        </w:numPr>
        <w:tabs>
          <w:tab w:pos="3913" w:val="left" w:leader="none"/>
        </w:tabs>
        <w:spacing w:line="225" w:lineRule="auto" w:before="88" w:after="0"/>
        <w:ind w:left="3340" w:right="116" w:firstLine="200"/>
        <w:jc w:val="both"/>
        <w:rPr>
          <w:sz w:val="20"/>
        </w:rPr>
      </w:pPr>
      <w:r>
        <w:rPr>
          <w:w w:val="105"/>
          <w:sz w:val="20"/>
        </w:rPr>
        <w:t>imports of the product from all listed  countries  with  less  than  3  percent import share collectively account for more than 9 percent of total imports of the product,</w:t>
      </w:r>
      <w:r>
        <w:rPr>
          <w:spacing w:val="30"/>
          <w:w w:val="105"/>
          <w:sz w:val="20"/>
        </w:rPr>
        <w:t> </w:t>
      </w:r>
      <w:r>
        <w:rPr>
          <w:w w:val="105"/>
          <w:sz w:val="20"/>
        </w:rPr>
        <w:t>or</w:t>
      </w:r>
    </w:p>
    <w:p>
      <w:pPr>
        <w:pStyle w:val="ListParagraph"/>
        <w:numPr>
          <w:ilvl w:val="0"/>
          <w:numId w:val="3"/>
        </w:numPr>
        <w:tabs>
          <w:tab w:pos="3896" w:val="left" w:leader="none"/>
        </w:tabs>
        <w:spacing w:line="225" w:lineRule="auto" w:before="86" w:after="0"/>
        <w:ind w:left="3340" w:right="120" w:firstLine="200"/>
        <w:jc w:val="both"/>
        <w:rPr>
          <w:sz w:val="20"/>
        </w:rPr>
      </w:pPr>
      <w:r>
        <w:rPr>
          <w:w w:val="105"/>
          <w:sz w:val="20"/>
        </w:rPr>
        <w:t>a country listed in subdivision (b) of Note 18 in Annex I to this proclamation is no longer a developing country for purposes of this proclama- tion;</w:t>
      </w:r>
    </w:p>
    <w:p>
      <w:pPr>
        <w:pStyle w:val="BodyText"/>
        <w:spacing w:line="225" w:lineRule="auto" w:before="89"/>
        <w:ind w:left="3340" w:right="116" w:firstLine="200"/>
        <w:jc w:val="both"/>
      </w:pPr>
      <w:r>
        <w:rPr>
          <w:w w:val="105"/>
        </w:rPr>
        <w:t>the USTR is authorized, upon publication  of  a  notice  in  the  </w:t>
      </w:r>
      <w:r>
        <w:rPr>
          <w:i/>
          <w:w w:val="105"/>
        </w:rPr>
        <w:t>Federal  </w:t>
      </w:r>
      <w:r>
        <w:rPr>
          <w:i/>
          <w:w w:val="105"/>
        </w:rPr>
        <w:t>Register, </w:t>
      </w:r>
      <w:r>
        <w:rPr>
          <w:w w:val="105"/>
        </w:rPr>
        <w:t>to revise subdivision (b) of Note 18 in Annex I to this proclamation      to remove the relevant country from the list or suspend operation of that subdivision, as</w:t>
      </w:r>
      <w:r>
        <w:rPr>
          <w:spacing w:val="15"/>
          <w:w w:val="105"/>
        </w:rPr>
        <w:t> </w:t>
      </w:r>
      <w:r>
        <w:rPr>
          <w:w w:val="105"/>
        </w:rPr>
        <w:t>appropriate.</w:t>
      </w:r>
    </w:p>
    <w:p>
      <w:pPr>
        <w:pStyle w:val="ListParagraph"/>
        <w:numPr>
          <w:ilvl w:val="0"/>
          <w:numId w:val="2"/>
        </w:numPr>
        <w:tabs>
          <w:tab w:pos="3893" w:val="left" w:leader="none"/>
        </w:tabs>
        <w:spacing w:line="225" w:lineRule="auto" w:before="29" w:after="0"/>
        <w:ind w:left="3540" w:right="119" w:firstLine="0"/>
        <w:jc w:val="both"/>
        <w:rPr>
          <w:sz w:val="20"/>
        </w:rPr>
      </w:pPr>
      <w:r>
        <w:rPr>
          <w:w w:val="105"/>
          <w:sz w:val="20"/>
        </w:rPr>
        <w:t>Within 30 days after the date of this proclamation, the USTR  shall  publish  in  the  </w:t>
      </w:r>
      <w:r>
        <w:rPr>
          <w:i/>
          <w:w w:val="105"/>
          <w:sz w:val="20"/>
        </w:rPr>
        <w:t>Federal  Register  </w:t>
      </w:r>
      <w:r>
        <w:rPr>
          <w:w w:val="105"/>
          <w:sz w:val="20"/>
        </w:rPr>
        <w:t>procedures  for  requests  for  exclusion  of   a particular product from the safeguard measure established in this procla- mation.</w:t>
      </w:r>
      <w:r>
        <w:rPr>
          <w:spacing w:val="27"/>
          <w:w w:val="105"/>
          <w:sz w:val="20"/>
        </w:rPr>
        <w:t> </w:t>
      </w:r>
      <w:r>
        <w:rPr>
          <w:w w:val="105"/>
          <w:sz w:val="20"/>
        </w:rPr>
        <w:t>If</w:t>
      </w:r>
      <w:r>
        <w:rPr>
          <w:spacing w:val="27"/>
          <w:w w:val="105"/>
          <w:sz w:val="20"/>
        </w:rPr>
        <w:t> </w:t>
      </w:r>
      <w:r>
        <w:rPr>
          <w:w w:val="105"/>
          <w:sz w:val="20"/>
        </w:rPr>
        <w:t>the</w:t>
      </w:r>
      <w:r>
        <w:rPr>
          <w:spacing w:val="27"/>
          <w:w w:val="105"/>
          <w:sz w:val="20"/>
        </w:rPr>
        <w:t> </w:t>
      </w:r>
      <w:r>
        <w:rPr>
          <w:w w:val="105"/>
          <w:sz w:val="20"/>
        </w:rPr>
        <w:t>USTR</w:t>
      </w:r>
      <w:r>
        <w:rPr>
          <w:spacing w:val="27"/>
          <w:w w:val="105"/>
          <w:sz w:val="20"/>
        </w:rPr>
        <w:t> </w:t>
      </w:r>
      <w:r>
        <w:rPr>
          <w:w w:val="105"/>
          <w:sz w:val="20"/>
        </w:rPr>
        <w:t>determines,</w:t>
      </w:r>
      <w:r>
        <w:rPr>
          <w:spacing w:val="27"/>
          <w:w w:val="105"/>
          <w:sz w:val="20"/>
        </w:rPr>
        <w:t> </w:t>
      </w:r>
      <w:r>
        <w:rPr>
          <w:w w:val="105"/>
          <w:sz w:val="20"/>
        </w:rPr>
        <w:t>after</w:t>
      </w:r>
      <w:r>
        <w:rPr>
          <w:spacing w:val="27"/>
          <w:w w:val="105"/>
          <w:sz w:val="20"/>
        </w:rPr>
        <w:t> </w:t>
      </w:r>
      <w:r>
        <w:rPr>
          <w:w w:val="105"/>
          <w:sz w:val="20"/>
        </w:rPr>
        <w:t>consultation</w:t>
      </w:r>
      <w:r>
        <w:rPr>
          <w:spacing w:val="27"/>
          <w:w w:val="105"/>
          <w:sz w:val="20"/>
        </w:rPr>
        <w:t> </w:t>
      </w:r>
      <w:r>
        <w:rPr>
          <w:w w:val="105"/>
          <w:sz w:val="20"/>
        </w:rPr>
        <w:t>with</w:t>
      </w:r>
      <w:r>
        <w:rPr>
          <w:spacing w:val="27"/>
          <w:w w:val="105"/>
          <w:sz w:val="20"/>
        </w:rPr>
        <w:t> </w:t>
      </w:r>
      <w:r>
        <w:rPr>
          <w:w w:val="105"/>
          <w:sz w:val="20"/>
        </w:rPr>
        <w:t>the</w:t>
      </w:r>
      <w:r>
        <w:rPr>
          <w:spacing w:val="27"/>
          <w:w w:val="105"/>
          <w:sz w:val="20"/>
        </w:rPr>
        <w:t> </w:t>
      </w:r>
      <w:r>
        <w:rPr>
          <w:w w:val="105"/>
          <w:sz w:val="20"/>
        </w:rPr>
        <w:t>Secretaries</w:t>
      </w:r>
    </w:p>
    <w:p>
      <w:pPr>
        <w:spacing w:after="0" w:line="225" w:lineRule="auto"/>
        <w:jc w:val="both"/>
        <w:rPr>
          <w:sz w:val="20"/>
        </w:rPr>
        <w:sectPr>
          <w:pgSz w:w="12240" w:h="15840"/>
          <w:pgMar w:header="627" w:footer="0" w:top="880" w:bottom="280" w:left="800" w:right="78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before="96"/>
        <w:ind w:left="100" w:right="0" w:firstLine="0"/>
        <w:jc w:val="left"/>
        <w:rPr>
          <w:sz w:val="14"/>
        </w:rPr>
      </w:pPr>
      <w:r>
        <w:rPr>
          <w:w w:val="110"/>
          <w:sz w:val="14"/>
        </w:rPr>
        <w:t>Billing code 3295–F8–P</w:t>
      </w:r>
    </w:p>
    <w:p>
      <w:pPr>
        <w:pStyle w:val="BodyText"/>
        <w:spacing w:line="232" w:lineRule="auto" w:before="132"/>
        <w:ind w:left="300" w:right="118"/>
        <w:jc w:val="both"/>
      </w:pPr>
      <w:r>
        <w:rPr/>
        <w:br w:type="column"/>
      </w:r>
      <w:r>
        <w:rPr>
          <w:w w:val="110"/>
        </w:rPr>
        <w:t>of Commerce and Energy, that a particular product should be excluded,  the USTR is authorized, upon publishing a notice of such determination    in the </w:t>
      </w:r>
      <w:r>
        <w:rPr>
          <w:i/>
          <w:w w:val="110"/>
        </w:rPr>
        <w:t>Federal Register, </w:t>
      </w:r>
      <w:r>
        <w:rPr>
          <w:w w:val="110"/>
        </w:rPr>
        <w:t>to modify the HTS provisions created by Annex        I</w:t>
      </w:r>
      <w:r>
        <w:rPr>
          <w:spacing w:val="-12"/>
          <w:w w:val="110"/>
        </w:rPr>
        <w:t> </w:t>
      </w:r>
      <w:r>
        <w:rPr>
          <w:w w:val="110"/>
        </w:rPr>
        <w:t>to</w:t>
      </w:r>
      <w:r>
        <w:rPr>
          <w:spacing w:val="-12"/>
          <w:w w:val="110"/>
        </w:rPr>
        <w:t> </w:t>
      </w:r>
      <w:r>
        <w:rPr>
          <w:w w:val="110"/>
        </w:rPr>
        <w:t>this</w:t>
      </w:r>
      <w:r>
        <w:rPr>
          <w:spacing w:val="-12"/>
          <w:w w:val="110"/>
        </w:rPr>
        <w:t> </w:t>
      </w:r>
      <w:r>
        <w:rPr>
          <w:w w:val="110"/>
        </w:rPr>
        <w:t>proclamation</w:t>
      </w:r>
      <w:r>
        <w:rPr>
          <w:spacing w:val="-12"/>
          <w:w w:val="110"/>
        </w:rPr>
        <w:t> </w:t>
      </w:r>
      <w:r>
        <w:rPr>
          <w:w w:val="110"/>
        </w:rPr>
        <w:t>to</w:t>
      </w:r>
      <w:r>
        <w:rPr>
          <w:spacing w:val="-12"/>
          <w:w w:val="110"/>
        </w:rPr>
        <w:t> </w:t>
      </w:r>
      <w:r>
        <w:rPr>
          <w:w w:val="110"/>
        </w:rPr>
        <w:t>exclude</w:t>
      </w:r>
      <w:r>
        <w:rPr>
          <w:spacing w:val="-12"/>
          <w:w w:val="110"/>
        </w:rPr>
        <w:t> </w:t>
      </w:r>
      <w:r>
        <w:rPr>
          <w:w w:val="110"/>
        </w:rPr>
        <w:t>such</w:t>
      </w:r>
      <w:r>
        <w:rPr>
          <w:spacing w:val="-12"/>
          <w:w w:val="110"/>
        </w:rPr>
        <w:t> </w:t>
      </w:r>
      <w:r>
        <w:rPr>
          <w:w w:val="110"/>
        </w:rPr>
        <w:t>particular</w:t>
      </w:r>
      <w:r>
        <w:rPr>
          <w:spacing w:val="-12"/>
          <w:w w:val="110"/>
        </w:rPr>
        <w:t> </w:t>
      </w:r>
      <w:r>
        <w:rPr>
          <w:w w:val="110"/>
        </w:rPr>
        <w:t>product</w:t>
      </w:r>
      <w:r>
        <w:rPr>
          <w:spacing w:val="-12"/>
          <w:w w:val="110"/>
        </w:rPr>
        <w:t> </w:t>
      </w:r>
      <w:r>
        <w:rPr>
          <w:w w:val="110"/>
        </w:rPr>
        <w:t>from</w:t>
      </w:r>
      <w:r>
        <w:rPr>
          <w:spacing w:val="-12"/>
          <w:w w:val="110"/>
        </w:rPr>
        <w:t> </w:t>
      </w:r>
      <w:r>
        <w:rPr>
          <w:w w:val="110"/>
        </w:rPr>
        <w:t>the</w:t>
      </w:r>
      <w:r>
        <w:rPr>
          <w:spacing w:val="-12"/>
          <w:w w:val="110"/>
        </w:rPr>
        <w:t> </w:t>
      </w:r>
      <w:r>
        <w:rPr>
          <w:w w:val="110"/>
        </w:rPr>
        <w:t>safeguard measure described in paragraph 8 of this</w:t>
      </w:r>
      <w:r>
        <w:rPr>
          <w:spacing w:val="8"/>
          <w:w w:val="110"/>
        </w:rPr>
        <w:t> </w:t>
      </w:r>
      <w:r>
        <w:rPr>
          <w:w w:val="110"/>
        </w:rPr>
        <w:t>proclamation.</w:t>
      </w:r>
    </w:p>
    <w:p>
      <w:pPr>
        <w:pStyle w:val="ListParagraph"/>
        <w:numPr>
          <w:ilvl w:val="0"/>
          <w:numId w:val="2"/>
        </w:numPr>
        <w:tabs>
          <w:tab w:pos="660" w:val="left" w:leader="none"/>
        </w:tabs>
        <w:spacing w:line="232" w:lineRule="auto" w:before="159" w:after="0"/>
        <w:ind w:left="300" w:right="118" w:firstLine="0"/>
        <w:jc w:val="both"/>
        <w:rPr>
          <w:sz w:val="20"/>
        </w:rPr>
      </w:pPr>
      <w:r>
        <w:rPr>
          <w:w w:val="105"/>
          <w:sz w:val="20"/>
        </w:rPr>
        <w:t>In  order  to  make  technical  corrections  necessary  to  reflect  the  end  of the suspension of Argentina’s designation as a GSP beneficiary  devel-  oping country, the HTS is modified as set forth in Annex II</w:t>
      </w:r>
      <w:r>
        <w:rPr>
          <w:spacing w:val="25"/>
          <w:w w:val="105"/>
          <w:sz w:val="20"/>
        </w:rPr>
        <w:t> </w:t>
      </w:r>
      <w:r>
        <w:rPr>
          <w:w w:val="105"/>
          <w:sz w:val="20"/>
        </w:rPr>
        <w:t>to</w:t>
      </w:r>
      <w:r>
        <w:rPr>
          <w:spacing w:val="1"/>
          <w:w w:val="105"/>
          <w:sz w:val="20"/>
        </w:rPr>
        <w:t> </w:t>
      </w:r>
      <w:r>
        <w:rPr>
          <w:w w:val="105"/>
          <w:sz w:val="20"/>
        </w:rPr>
        <w:t>this</w:t>
      </w:r>
      <w:r>
        <w:rPr>
          <w:w w:val="107"/>
          <w:sz w:val="20"/>
        </w:rPr>
        <w:t> </w:t>
      </w:r>
      <w:r>
        <w:rPr>
          <w:w w:val="105"/>
          <w:sz w:val="20"/>
        </w:rPr>
        <w:t>proclamation.</w:t>
      </w:r>
    </w:p>
    <w:p>
      <w:pPr>
        <w:pStyle w:val="ListParagraph"/>
        <w:numPr>
          <w:ilvl w:val="0"/>
          <w:numId w:val="2"/>
        </w:numPr>
        <w:tabs>
          <w:tab w:pos="654" w:val="left" w:leader="none"/>
        </w:tabs>
        <w:spacing w:line="232" w:lineRule="auto" w:before="158" w:after="0"/>
        <w:ind w:left="300" w:right="116" w:firstLine="0"/>
        <w:jc w:val="both"/>
        <w:rPr>
          <w:sz w:val="20"/>
        </w:rPr>
      </w:pPr>
      <w:r>
        <w:rPr>
          <w:w w:val="105"/>
          <w:sz w:val="20"/>
        </w:rPr>
        <w:t>Any  provision  of  previous  proclamations  and  Executive  Orders  that   is inconsistent with the  actions  taken  in  this  proclamation  is  superseded  to the extent of such</w:t>
      </w:r>
      <w:r>
        <w:rPr>
          <w:spacing w:val="42"/>
          <w:w w:val="105"/>
          <w:sz w:val="20"/>
        </w:rPr>
        <w:t> </w:t>
      </w:r>
      <w:r>
        <w:rPr>
          <w:w w:val="105"/>
          <w:sz w:val="20"/>
        </w:rPr>
        <w:t>inconsistency.</w:t>
      </w:r>
    </w:p>
    <w:p>
      <w:pPr>
        <w:pStyle w:val="ListParagraph"/>
        <w:numPr>
          <w:ilvl w:val="0"/>
          <w:numId w:val="2"/>
        </w:numPr>
        <w:tabs>
          <w:tab w:pos="618" w:val="left" w:leader="none"/>
        </w:tabs>
        <w:spacing w:line="232" w:lineRule="auto" w:before="158" w:after="0"/>
        <w:ind w:left="300" w:right="118" w:firstLine="0"/>
        <w:jc w:val="both"/>
        <w:rPr>
          <w:sz w:val="20"/>
        </w:rPr>
      </w:pPr>
      <w:r>
        <w:rPr>
          <w:w w:val="110"/>
          <w:sz w:val="20"/>
        </w:rPr>
        <w:t>Except as provided for in clause (8) of this proclamation, the modifica- tions to the HTS  made  by  this  proclamation,  including  Annex  I,  shall  be effective with respect to goods entered, or withdrawn from warehouse for consumption, on or after 12:01 a.m. eastern standard time on February 7, 2018, and shall continue in effect as provided in Annex I to this proclamation, unless such actions are earlier expressly reduced, modified, or terminated. Any modifications to the HTS made pursuant to</w:t>
      </w:r>
      <w:r>
        <w:rPr>
          <w:spacing w:val="28"/>
          <w:w w:val="110"/>
          <w:sz w:val="20"/>
        </w:rPr>
        <w:t> </w:t>
      </w:r>
      <w:r>
        <w:rPr>
          <w:w w:val="110"/>
          <w:sz w:val="20"/>
        </w:rPr>
        <w:t>clause</w:t>
      </w:r>
    </w:p>
    <w:p>
      <w:pPr>
        <w:pStyle w:val="BodyText"/>
        <w:spacing w:line="232" w:lineRule="auto" w:before="4"/>
        <w:ind w:left="300" w:right="116"/>
        <w:jc w:val="both"/>
      </w:pPr>
      <w:r>
        <w:rPr>
          <w:w w:val="105"/>
        </w:rPr>
        <w:t>(3) or (4) of this proclamation shall take effect as indicated in a </w:t>
      </w:r>
      <w:r>
        <w:rPr>
          <w:i/>
          <w:w w:val="105"/>
        </w:rPr>
        <w:t>Federal </w:t>
      </w:r>
      <w:r>
        <w:rPr>
          <w:i/>
          <w:w w:val="105"/>
        </w:rPr>
        <w:t>Register  </w:t>
      </w:r>
      <w:r>
        <w:rPr>
          <w:w w:val="105"/>
        </w:rPr>
        <w:t>notice  published  in  accordance  with  those  clauses.  One  year from the termination of the safeguard measure established in this proclama- tion, the U.S. note and tariff provisions established in Annex I to this proclamation shall be deleted from the</w:t>
      </w:r>
      <w:r>
        <w:rPr>
          <w:spacing w:val="8"/>
          <w:w w:val="105"/>
        </w:rPr>
        <w:t> </w:t>
      </w:r>
      <w:r>
        <w:rPr>
          <w:w w:val="105"/>
        </w:rPr>
        <w:t>HTS.</w:t>
      </w:r>
    </w:p>
    <w:p>
      <w:pPr>
        <w:pStyle w:val="BodyText"/>
        <w:spacing w:line="232" w:lineRule="auto" w:before="159"/>
        <w:ind w:left="300" w:right="117"/>
        <w:jc w:val="both"/>
      </w:pPr>
      <w:r>
        <w:rPr>
          <w:w w:val="105"/>
        </w:rPr>
        <w:t>(8) The modifications to the HTS set forth in Annex II to this proclamation shall be effective with respect to the articles entered, or withdrawn from warehouse for consumption, on or after the dates set forth in the relevant sections of Annex II.</w:t>
      </w:r>
    </w:p>
    <w:p>
      <w:pPr>
        <w:pStyle w:val="BodyText"/>
        <w:spacing w:line="232" w:lineRule="auto" w:before="98"/>
        <w:ind w:left="100" w:right="118"/>
        <w:jc w:val="both"/>
      </w:pPr>
      <w:r>
        <w:rPr>
          <w:w w:val="105"/>
        </w:rPr>
        <w:t>IN  WITNESS  WHEREOF,  I  have  hereunto  set  my  hand  this  twenty-third  day  of  January,  in  the  year  of  our  Lord  two  thousand  eighteen,  and  of    the Independence of the United States of America the two hundred and forty-second.</w:t>
      </w:r>
    </w:p>
    <w:p>
      <w:pPr>
        <w:pStyle w:val="BodyText"/>
        <w:spacing w:before="5"/>
        <w:rPr>
          <w:sz w:val="16"/>
        </w:rPr>
      </w:pPr>
      <w:r>
        <w:rPr/>
        <w:drawing>
          <wp:anchor distT="0" distB="0" distL="0" distR="0" allowOverlap="1" layoutInCell="1" locked="0" behindDoc="0" simplePos="0" relativeHeight="1096">
            <wp:simplePos x="0" y="0"/>
            <wp:positionH relativeFrom="page">
              <wp:posOffset>5926531</wp:posOffset>
            </wp:positionH>
            <wp:positionV relativeFrom="paragraph">
              <wp:posOffset>147681</wp:posOffset>
            </wp:positionV>
            <wp:extent cx="1183671" cy="816101"/>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1183671" cy="816101"/>
                    </a:xfrm>
                    <a:prstGeom prst="rect">
                      <a:avLst/>
                    </a:prstGeom>
                  </pic:spPr>
                </pic:pic>
              </a:graphicData>
            </a:graphic>
          </wp:anchor>
        </w:drawing>
      </w:r>
    </w:p>
    <w:p>
      <w:pPr>
        <w:spacing w:after="0"/>
        <w:rPr>
          <w:sz w:val="16"/>
        </w:rPr>
        <w:sectPr>
          <w:pgSz w:w="12240" w:h="15840"/>
          <w:pgMar w:header="627" w:footer="0" w:top="1040" w:bottom="280" w:left="800" w:right="780"/>
          <w:cols w:num="2" w:equalWidth="0">
            <w:col w:w="1734" w:space="1506"/>
            <w:col w:w="7420"/>
          </w:cols>
        </w:sectPr>
      </w:pPr>
    </w:p>
    <w:p>
      <w:pPr>
        <w:pStyle w:val="BodyText"/>
        <w:spacing w:before="8"/>
        <w:rPr>
          <w:rFonts w:ascii="Times New Roman"/>
          <w:sz w:val="3"/>
        </w:rPr>
      </w:pPr>
    </w:p>
    <w:p>
      <w:pPr>
        <w:pStyle w:val="BodyText"/>
        <w:spacing w:line="105" w:lineRule="exact"/>
        <w:ind w:left="78"/>
        <w:rPr>
          <w:rFonts w:ascii="Times New Roman"/>
          <w:sz w:val="10"/>
        </w:rPr>
      </w:pPr>
      <w:r>
        <w:rPr>
          <w:rFonts w:ascii="Times New Roman"/>
          <w:position w:val="-1"/>
          <w:sz w:val="10"/>
        </w:rPr>
        <w:pict>
          <v:group style="width:522pt;height:5.25pt;mso-position-horizontal-relative:char;mso-position-vertical-relative:line" coordorigin="0,0" coordsize="10440,105">
            <v:line style="position:absolute" from="0,22" to="10440,22" stroked="true" strokeweight="2.2pt" strokecolor="#000000">
              <v:stroke dashstyle="solid"/>
            </v:line>
            <v:line style="position:absolute" from="0,102" to="10440,102" stroked="true" strokeweight=".3pt" strokecolor="#000000">
              <v:stroke dashstyle="solid"/>
            </v:line>
          </v:group>
        </w:pict>
      </w:r>
      <w:r>
        <w:rPr>
          <w:rFonts w:ascii="Times New Roman"/>
          <w:position w:val="-1"/>
          <w:sz w:val="10"/>
        </w:rPr>
      </w:r>
    </w:p>
    <w:p>
      <w:pPr>
        <w:pStyle w:val="BodyText"/>
        <w:spacing w:before="2"/>
        <w:rPr>
          <w:rFonts w:ascii="Times New Roman"/>
          <w:sz w:val="17"/>
        </w:rPr>
      </w:pPr>
      <w:r>
        <w:rPr/>
        <w:drawing>
          <wp:anchor distT="0" distB="0" distL="0" distR="0" allowOverlap="1" layoutInCell="1" locked="0" behindDoc="0" simplePos="0" relativeHeight="1144">
            <wp:simplePos x="0" y="0"/>
            <wp:positionH relativeFrom="page">
              <wp:posOffset>1225550</wp:posOffset>
            </wp:positionH>
            <wp:positionV relativeFrom="paragraph">
              <wp:posOffset>150534</wp:posOffset>
            </wp:positionV>
            <wp:extent cx="5324856" cy="7620000"/>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9" cstate="print"/>
                    <a:stretch>
                      <a:fillRect/>
                    </a:stretch>
                  </pic:blipFill>
                  <pic:spPr>
                    <a:xfrm>
                      <a:off x="0" y="0"/>
                      <a:ext cx="5324856" cy="7620000"/>
                    </a:xfrm>
                    <a:prstGeom prst="rect">
                      <a:avLst/>
                    </a:prstGeom>
                  </pic:spPr>
                </pic:pic>
              </a:graphicData>
            </a:graphic>
          </wp:anchor>
        </w:drawing>
      </w:r>
    </w:p>
    <w:p>
      <w:pPr>
        <w:spacing w:after="0"/>
        <w:rPr>
          <w:rFonts w:ascii="Times New Roman"/>
          <w:sz w:val="17"/>
        </w:rPr>
        <w:sectPr>
          <w:pgSz w:w="12240" w:h="15840"/>
          <w:pgMar w:header="627" w:footer="0" w:top="880" w:bottom="280" w:left="800" w:right="780"/>
        </w:sectPr>
      </w:pPr>
    </w:p>
    <w:p>
      <w:pPr>
        <w:pStyle w:val="BodyText"/>
        <w:spacing w:before="8"/>
        <w:rPr>
          <w:rFonts w:ascii="Times New Roman"/>
          <w:sz w:val="3"/>
        </w:rPr>
      </w:pPr>
    </w:p>
    <w:p>
      <w:pPr>
        <w:pStyle w:val="BodyText"/>
        <w:spacing w:line="105" w:lineRule="exact"/>
        <w:ind w:left="78"/>
        <w:rPr>
          <w:rFonts w:ascii="Times New Roman"/>
          <w:sz w:val="10"/>
        </w:rPr>
      </w:pPr>
      <w:r>
        <w:rPr>
          <w:rFonts w:ascii="Times New Roman"/>
          <w:position w:val="-1"/>
          <w:sz w:val="10"/>
        </w:rPr>
        <w:pict>
          <v:group style="width:522pt;height:5.25pt;mso-position-horizontal-relative:char;mso-position-vertical-relative:line" coordorigin="0,0" coordsize="10440,105">
            <v:line style="position:absolute" from="0,22" to="10440,22" stroked="true" strokeweight="2.2pt" strokecolor="#000000">
              <v:stroke dashstyle="solid"/>
            </v:line>
            <v:line style="position:absolute" from="0,102" to="10440,102" stroked="true" strokeweight=".3pt" strokecolor="#000000">
              <v:stroke dashstyle="solid"/>
            </v:line>
          </v:group>
        </w:pict>
      </w:r>
      <w:r>
        <w:rPr>
          <w:rFonts w:ascii="Times New Roman"/>
          <w:position w:val="-1"/>
          <w:sz w:val="10"/>
        </w:rPr>
      </w:r>
    </w:p>
    <w:p>
      <w:pPr>
        <w:pStyle w:val="BodyText"/>
        <w:spacing w:before="2"/>
        <w:rPr>
          <w:rFonts w:ascii="Times New Roman"/>
          <w:sz w:val="17"/>
        </w:rPr>
      </w:pPr>
      <w:r>
        <w:rPr/>
        <w:drawing>
          <wp:anchor distT="0" distB="0" distL="0" distR="0" allowOverlap="1" layoutInCell="1" locked="0" behindDoc="0" simplePos="0" relativeHeight="1192">
            <wp:simplePos x="0" y="0"/>
            <wp:positionH relativeFrom="page">
              <wp:posOffset>1619250</wp:posOffset>
            </wp:positionH>
            <wp:positionV relativeFrom="paragraph">
              <wp:posOffset>150534</wp:posOffset>
            </wp:positionV>
            <wp:extent cx="4533900" cy="7620000"/>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12" cstate="print"/>
                    <a:stretch>
                      <a:fillRect/>
                    </a:stretch>
                  </pic:blipFill>
                  <pic:spPr>
                    <a:xfrm>
                      <a:off x="0" y="0"/>
                      <a:ext cx="4533900" cy="7620000"/>
                    </a:xfrm>
                    <a:prstGeom prst="rect">
                      <a:avLst/>
                    </a:prstGeom>
                  </pic:spPr>
                </pic:pic>
              </a:graphicData>
            </a:graphic>
          </wp:anchor>
        </w:drawing>
      </w:r>
    </w:p>
    <w:p>
      <w:pPr>
        <w:spacing w:after="0"/>
        <w:rPr>
          <w:rFonts w:ascii="Times New Roman"/>
          <w:sz w:val="17"/>
        </w:rPr>
        <w:sectPr>
          <w:headerReference w:type="even" r:id="rId10"/>
          <w:headerReference w:type="default" r:id="rId11"/>
          <w:pgSz w:w="12240" w:h="15840"/>
          <w:pgMar w:header="627" w:footer="0" w:top="880" w:bottom="280" w:left="800" w:right="780"/>
          <w:pgNumType w:start="3546"/>
        </w:sectPr>
      </w:pPr>
    </w:p>
    <w:p>
      <w:pPr>
        <w:pStyle w:val="BodyText"/>
        <w:spacing w:before="8"/>
        <w:rPr>
          <w:rFonts w:ascii="Times New Roman"/>
          <w:sz w:val="3"/>
        </w:rPr>
      </w:pPr>
    </w:p>
    <w:p>
      <w:pPr>
        <w:pStyle w:val="BodyText"/>
        <w:spacing w:line="105" w:lineRule="exact"/>
        <w:ind w:left="78"/>
        <w:rPr>
          <w:rFonts w:ascii="Times New Roman"/>
          <w:sz w:val="10"/>
        </w:rPr>
      </w:pPr>
      <w:r>
        <w:rPr>
          <w:rFonts w:ascii="Times New Roman"/>
          <w:position w:val="-1"/>
          <w:sz w:val="10"/>
        </w:rPr>
        <w:pict>
          <v:group style="width:522pt;height:5.25pt;mso-position-horizontal-relative:char;mso-position-vertical-relative:line" coordorigin="0,0" coordsize="10440,105">
            <v:line style="position:absolute" from="0,22" to="10440,22" stroked="true" strokeweight="2.2pt" strokecolor="#000000">
              <v:stroke dashstyle="solid"/>
            </v:line>
            <v:line style="position:absolute" from="0,102" to="10440,102" stroked="true" strokeweight=".3pt" strokecolor="#000000">
              <v:stroke dashstyle="solid"/>
            </v:line>
          </v:group>
        </w:pict>
      </w:r>
      <w:r>
        <w:rPr>
          <w:rFonts w:ascii="Times New Roman"/>
          <w:position w:val="-1"/>
          <w:sz w:val="10"/>
        </w:rPr>
      </w:r>
    </w:p>
    <w:p>
      <w:pPr>
        <w:pStyle w:val="BodyText"/>
        <w:spacing w:before="2"/>
        <w:rPr>
          <w:rFonts w:ascii="Times New Roman"/>
          <w:sz w:val="17"/>
        </w:rPr>
      </w:pPr>
      <w:r>
        <w:rPr/>
        <w:drawing>
          <wp:anchor distT="0" distB="0" distL="0" distR="0" allowOverlap="1" layoutInCell="1" locked="0" behindDoc="0" simplePos="0" relativeHeight="1240">
            <wp:simplePos x="0" y="0"/>
            <wp:positionH relativeFrom="page">
              <wp:posOffset>1352550</wp:posOffset>
            </wp:positionH>
            <wp:positionV relativeFrom="paragraph">
              <wp:posOffset>150534</wp:posOffset>
            </wp:positionV>
            <wp:extent cx="5061204" cy="7620000"/>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13" cstate="print"/>
                    <a:stretch>
                      <a:fillRect/>
                    </a:stretch>
                  </pic:blipFill>
                  <pic:spPr>
                    <a:xfrm>
                      <a:off x="0" y="0"/>
                      <a:ext cx="5061204" cy="7620000"/>
                    </a:xfrm>
                    <a:prstGeom prst="rect">
                      <a:avLst/>
                    </a:prstGeom>
                  </pic:spPr>
                </pic:pic>
              </a:graphicData>
            </a:graphic>
          </wp:anchor>
        </w:drawing>
      </w:r>
    </w:p>
    <w:p>
      <w:pPr>
        <w:spacing w:after="0"/>
        <w:rPr>
          <w:rFonts w:ascii="Times New Roman"/>
          <w:sz w:val="17"/>
        </w:rPr>
        <w:sectPr>
          <w:pgSz w:w="12240" w:h="15840"/>
          <w:pgMar w:header="627" w:footer="0" w:top="880" w:bottom="280" w:left="800" w:right="780"/>
        </w:sectPr>
      </w:pPr>
    </w:p>
    <w:p>
      <w:pPr>
        <w:pStyle w:val="BodyText"/>
        <w:spacing w:before="8"/>
        <w:rPr>
          <w:rFonts w:ascii="Times New Roman"/>
          <w:sz w:val="3"/>
        </w:rPr>
      </w:pPr>
    </w:p>
    <w:p>
      <w:pPr>
        <w:pStyle w:val="BodyText"/>
        <w:spacing w:line="105" w:lineRule="exact"/>
        <w:ind w:left="78"/>
        <w:rPr>
          <w:rFonts w:ascii="Times New Roman"/>
          <w:sz w:val="10"/>
        </w:rPr>
      </w:pPr>
      <w:r>
        <w:rPr>
          <w:rFonts w:ascii="Times New Roman"/>
          <w:position w:val="-1"/>
          <w:sz w:val="10"/>
        </w:rPr>
        <w:pict>
          <v:group style="width:522pt;height:5.25pt;mso-position-horizontal-relative:char;mso-position-vertical-relative:line" coordorigin="0,0" coordsize="10440,105">
            <v:line style="position:absolute" from="0,22" to="10440,22" stroked="true" strokeweight="2.2pt" strokecolor="#000000">
              <v:stroke dashstyle="solid"/>
            </v:line>
            <v:line style="position:absolute" from="0,102" to="10440,102" stroked="true" strokeweight=".3pt" strokecolor="#000000">
              <v:stroke dashstyle="solid"/>
            </v:line>
          </v:group>
        </w:pict>
      </w:r>
      <w:r>
        <w:rPr>
          <w:rFonts w:ascii="Times New Roman"/>
          <w:position w:val="-1"/>
          <w:sz w:val="10"/>
        </w:rPr>
      </w:r>
    </w:p>
    <w:p>
      <w:pPr>
        <w:pStyle w:val="BodyText"/>
        <w:spacing w:before="2"/>
        <w:rPr>
          <w:rFonts w:ascii="Times New Roman"/>
          <w:sz w:val="17"/>
        </w:rPr>
      </w:pPr>
      <w:r>
        <w:rPr/>
        <w:drawing>
          <wp:anchor distT="0" distB="0" distL="0" distR="0" allowOverlap="1" layoutInCell="1" locked="0" behindDoc="0" simplePos="0" relativeHeight="1288">
            <wp:simplePos x="0" y="0"/>
            <wp:positionH relativeFrom="page">
              <wp:posOffset>1250950</wp:posOffset>
            </wp:positionH>
            <wp:positionV relativeFrom="paragraph">
              <wp:posOffset>150534</wp:posOffset>
            </wp:positionV>
            <wp:extent cx="5276088" cy="7620000"/>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4" cstate="print"/>
                    <a:stretch>
                      <a:fillRect/>
                    </a:stretch>
                  </pic:blipFill>
                  <pic:spPr>
                    <a:xfrm>
                      <a:off x="0" y="0"/>
                      <a:ext cx="5276088" cy="7620000"/>
                    </a:xfrm>
                    <a:prstGeom prst="rect">
                      <a:avLst/>
                    </a:prstGeom>
                  </pic:spPr>
                </pic:pic>
              </a:graphicData>
            </a:graphic>
          </wp:anchor>
        </w:drawing>
      </w:r>
    </w:p>
    <w:p>
      <w:pPr>
        <w:spacing w:after="0"/>
        <w:rPr>
          <w:rFonts w:ascii="Times New Roman"/>
          <w:sz w:val="17"/>
        </w:rPr>
        <w:sectPr>
          <w:pgSz w:w="12240" w:h="15840"/>
          <w:pgMar w:header="627" w:footer="0" w:top="880" w:bottom="280" w:left="800" w:right="780"/>
        </w:sectPr>
      </w:pPr>
    </w:p>
    <w:p>
      <w:pPr>
        <w:pStyle w:val="BodyText"/>
        <w:spacing w:before="8"/>
        <w:rPr>
          <w:rFonts w:ascii="Times New Roman"/>
          <w:sz w:val="3"/>
        </w:rPr>
      </w:pPr>
    </w:p>
    <w:p>
      <w:pPr>
        <w:pStyle w:val="BodyText"/>
        <w:spacing w:line="105" w:lineRule="exact"/>
        <w:ind w:left="78"/>
        <w:rPr>
          <w:rFonts w:ascii="Times New Roman"/>
          <w:sz w:val="10"/>
        </w:rPr>
      </w:pPr>
      <w:r>
        <w:rPr>
          <w:rFonts w:ascii="Times New Roman"/>
          <w:position w:val="-1"/>
          <w:sz w:val="10"/>
        </w:rPr>
        <w:pict>
          <v:group style="width:522pt;height:5.25pt;mso-position-horizontal-relative:char;mso-position-vertical-relative:line" coordorigin="0,0" coordsize="10440,105">
            <v:line style="position:absolute" from="0,22" to="10440,22" stroked="true" strokeweight="2.2pt" strokecolor="#000000">
              <v:stroke dashstyle="solid"/>
            </v:line>
            <v:line style="position:absolute" from="0,102" to="10440,102" stroked="true" strokeweight=".3pt" strokecolor="#000000">
              <v:stroke dashstyle="solid"/>
            </v:line>
          </v:group>
        </w:pict>
      </w:r>
      <w:r>
        <w:rPr>
          <w:rFonts w:ascii="Times New Roman"/>
          <w:position w:val="-1"/>
          <w:sz w:val="10"/>
        </w:rPr>
      </w:r>
    </w:p>
    <w:p>
      <w:pPr>
        <w:pStyle w:val="BodyText"/>
        <w:spacing w:before="2"/>
        <w:rPr>
          <w:rFonts w:ascii="Times New Roman"/>
          <w:sz w:val="17"/>
        </w:rPr>
      </w:pPr>
      <w:r>
        <w:rPr/>
        <w:drawing>
          <wp:anchor distT="0" distB="0" distL="0" distR="0" allowOverlap="1" layoutInCell="1" locked="0" behindDoc="0" simplePos="0" relativeHeight="1336">
            <wp:simplePos x="0" y="0"/>
            <wp:positionH relativeFrom="page">
              <wp:posOffset>1155700</wp:posOffset>
            </wp:positionH>
            <wp:positionV relativeFrom="paragraph">
              <wp:posOffset>150534</wp:posOffset>
            </wp:positionV>
            <wp:extent cx="5457444" cy="7620000"/>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5" cstate="print"/>
                    <a:stretch>
                      <a:fillRect/>
                    </a:stretch>
                  </pic:blipFill>
                  <pic:spPr>
                    <a:xfrm>
                      <a:off x="0" y="0"/>
                      <a:ext cx="5457444" cy="7620000"/>
                    </a:xfrm>
                    <a:prstGeom prst="rect">
                      <a:avLst/>
                    </a:prstGeom>
                  </pic:spPr>
                </pic:pic>
              </a:graphicData>
            </a:graphic>
          </wp:anchor>
        </w:drawing>
      </w:r>
    </w:p>
    <w:p>
      <w:pPr>
        <w:spacing w:after="0"/>
        <w:rPr>
          <w:rFonts w:ascii="Times New Roman"/>
          <w:sz w:val="17"/>
        </w:rPr>
        <w:sectPr>
          <w:pgSz w:w="12240" w:h="15840"/>
          <w:pgMar w:header="627" w:footer="0" w:top="880" w:bottom="280" w:left="800" w:right="780"/>
        </w:sectPr>
      </w:pPr>
    </w:p>
    <w:p>
      <w:pPr>
        <w:pStyle w:val="BodyText"/>
        <w:spacing w:before="8"/>
        <w:rPr>
          <w:rFonts w:ascii="Times New Roman"/>
          <w:sz w:val="3"/>
        </w:rPr>
      </w:pPr>
    </w:p>
    <w:p>
      <w:pPr>
        <w:pStyle w:val="BodyText"/>
        <w:spacing w:line="105" w:lineRule="exact"/>
        <w:ind w:left="78"/>
        <w:rPr>
          <w:rFonts w:ascii="Times New Roman"/>
          <w:sz w:val="10"/>
        </w:rPr>
      </w:pPr>
      <w:r>
        <w:rPr>
          <w:rFonts w:ascii="Times New Roman"/>
          <w:position w:val="-1"/>
          <w:sz w:val="10"/>
        </w:rPr>
        <w:pict>
          <v:group style="width:522pt;height:5.25pt;mso-position-horizontal-relative:char;mso-position-vertical-relative:line" coordorigin="0,0" coordsize="10440,105">
            <v:line style="position:absolute" from="0,22" to="10440,22" stroked="true" strokeweight="2.2pt" strokecolor="#000000">
              <v:stroke dashstyle="solid"/>
            </v:line>
            <v:line style="position:absolute" from="0,102" to="10440,102" stroked="true" strokeweight=".3pt" strokecolor="#000000">
              <v:stroke dashstyle="solid"/>
            </v:line>
          </v:group>
        </w:pict>
      </w:r>
      <w:r>
        <w:rPr>
          <w:rFonts w:ascii="Times New Roman"/>
          <w:position w:val="-1"/>
          <w:sz w:val="10"/>
        </w:rPr>
      </w:r>
    </w:p>
    <w:p>
      <w:pPr>
        <w:pStyle w:val="BodyText"/>
        <w:spacing w:before="2"/>
        <w:rPr>
          <w:rFonts w:ascii="Times New Roman"/>
          <w:sz w:val="17"/>
        </w:rPr>
      </w:pPr>
      <w:r>
        <w:rPr/>
        <w:drawing>
          <wp:anchor distT="0" distB="0" distL="0" distR="0" allowOverlap="1" layoutInCell="1" locked="0" behindDoc="0" simplePos="0" relativeHeight="1384">
            <wp:simplePos x="0" y="0"/>
            <wp:positionH relativeFrom="page">
              <wp:posOffset>641350</wp:posOffset>
            </wp:positionH>
            <wp:positionV relativeFrom="paragraph">
              <wp:posOffset>150534</wp:posOffset>
            </wp:positionV>
            <wp:extent cx="6486143" cy="3439667"/>
            <wp:effectExtent l="0" t="0" r="0" b="0"/>
            <wp:wrapTopAndBottom/>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8" cstate="print"/>
                    <a:stretch>
                      <a:fillRect/>
                    </a:stretch>
                  </pic:blipFill>
                  <pic:spPr>
                    <a:xfrm>
                      <a:off x="0" y="0"/>
                      <a:ext cx="6486143" cy="3439667"/>
                    </a:xfrm>
                    <a:prstGeom prst="rect">
                      <a:avLst/>
                    </a:prstGeom>
                  </pic:spPr>
                </pic:pic>
              </a:graphicData>
            </a:graphic>
          </wp:anchor>
        </w:drawing>
      </w:r>
    </w:p>
    <w:p>
      <w:pPr>
        <w:spacing w:after="0"/>
        <w:rPr>
          <w:rFonts w:ascii="Times New Roman"/>
          <w:sz w:val="17"/>
        </w:rPr>
        <w:sectPr>
          <w:headerReference w:type="even" r:id="rId16"/>
          <w:headerReference w:type="default" r:id="rId17"/>
          <w:pgSz w:w="12240" w:h="15840"/>
          <w:pgMar w:header="627" w:footer="0" w:top="880" w:bottom="280" w:left="800" w:right="780"/>
        </w:sectPr>
      </w:pPr>
    </w:p>
    <w:p>
      <w:pPr>
        <w:pStyle w:val="BodyText"/>
        <w:spacing w:before="8"/>
        <w:rPr>
          <w:rFonts w:ascii="Times New Roman"/>
          <w:sz w:val="3"/>
        </w:rPr>
      </w:pPr>
    </w:p>
    <w:p>
      <w:pPr>
        <w:pStyle w:val="BodyText"/>
        <w:spacing w:line="105" w:lineRule="exact"/>
        <w:ind w:left="78"/>
        <w:rPr>
          <w:rFonts w:ascii="Times New Roman"/>
          <w:sz w:val="10"/>
        </w:rPr>
      </w:pPr>
      <w:r>
        <w:rPr>
          <w:rFonts w:ascii="Times New Roman"/>
          <w:position w:val="-1"/>
          <w:sz w:val="10"/>
        </w:rPr>
        <w:pict>
          <v:group style="width:522pt;height:5.25pt;mso-position-horizontal-relative:char;mso-position-vertical-relative:line" coordorigin="0,0" coordsize="10440,105">
            <v:line style="position:absolute" from="0,22" to="10440,22" stroked="true" strokeweight="2.2pt" strokecolor="#000000">
              <v:stroke dashstyle="solid"/>
            </v:line>
            <v:line style="position:absolute" from="0,102" to="10440,102" stroked="true" strokeweight=".3pt" strokecolor="#000000">
              <v:stroke dashstyle="solid"/>
            </v:line>
          </v:group>
        </w:pict>
      </w:r>
      <w:r>
        <w:rPr>
          <w:rFonts w:ascii="Times New Roman"/>
          <w:position w:val="-1"/>
          <w:sz w:val="10"/>
        </w:rPr>
      </w:r>
    </w:p>
    <w:p>
      <w:pPr>
        <w:pStyle w:val="BodyText"/>
        <w:spacing w:before="2"/>
        <w:rPr>
          <w:rFonts w:ascii="Times New Roman"/>
          <w:sz w:val="17"/>
        </w:rPr>
      </w:pPr>
      <w:r>
        <w:rPr/>
        <w:drawing>
          <wp:anchor distT="0" distB="0" distL="0" distR="0" allowOverlap="1" layoutInCell="1" locked="0" behindDoc="0" simplePos="0" relativeHeight="1432">
            <wp:simplePos x="0" y="0"/>
            <wp:positionH relativeFrom="page">
              <wp:posOffset>1352550</wp:posOffset>
            </wp:positionH>
            <wp:positionV relativeFrom="paragraph">
              <wp:posOffset>150534</wp:posOffset>
            </wp:positionV>
            <wp:extent cx="5070348" cy="7620000"/>
            <wp:effectExtent l="0" t="0" r="0" b="0"/>
            <wp:wrapTopAndBottom/>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9" cstate="print"/>
                    <a:stretch>
                      <a:fillRect/>
                    </a:stretch>
                  </pic:blipFill>
                  <pic:spPr>
                    <a:xfrm>
                      <a:off x="0" y="0"/>
                      <a:ext cx="5070348" cy="7620000"/>
                    </a:xfrm>
                    <a:prstGeom prst="rect">
                      <a:avLst/>
                    </a:prstGeom>
                  </pic:spPr>
                </pic:pic>
              </a:graphicData>
            </a:graphic>
          </wp:anchor>
        </w:drawing>
      </w:r>
    </w:p>
    <w:p>
      <w:pPr>
        <w:pStyle w:val="BodyText"/>
        <w:rPr>
          <w:rFonts w:ascii="Times New Roman"/>
        </w:rPr>
      </w:pPr>
    </w:p>
    <w:p>
      <w:pPr>
        <w:pStyle w:val="BodyText"/>
        <w:spacing w:before="7"/>
        <w:rPr>
          <w:rFonts w:ascii="Times New Roman"/>
          <w:sz w:val="16"/>
        </w:rPr>
      </w:pPr>
    </w:p>
    <w:p>
      <w:pPr>
        <w:spacing w:before="101"/>
        <w:ind w:left="100" w:right="0" w:firstLine="0"/>
        <w:jc w:val="left"/>
        <w:rPr>
          <w:sz w:val="14"/>
        </w:rPr>
      </w:pPr>
      <w:r>
        <w:rPr>
          <w:w w:val="105"/>
          <w:sz w:val="14"/>
        </w:rPr>
        <w:t>[FR Doc. 2018–01592</w:t>
      </w:r>
    </w:p>
    <w:p>
      <w:pPr>
        <w:spacing w:line="350" w:lineRule="auto" w:before="120"/>
        <w:ind w:left="100" w:right="8795" w:firstLine="0"/>
        <w:jc w:val="left"/>
        <w:rPr>
          <w:sz w:val="14"/>
        </w:rPr>
      </w:pPr>
      <w:r>
        <w:rPr>
          <w:w w:val="105"/>
          <w:sz w:val="14"/>
        </w:rPr>
        <w:t>Filed 1–24–18; 2: pm] Billing code 7020–02–C</w:t>
      </w:r>
    </w:p>
    <w:sectPr>
      <w:pgSz w:w="12240" w:h="15840"/>
      <w:pgMar w:header="627" w:footer="0" w:top="880" w:bottom="280" w:left="800" w:right="7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Tahoma">
    <w:altName w:val="Tahoma"/>
    <w:charset w:val="0"/>
    <w:family w:val="swiss"/>
    <w:pitch w:val="variable"/>
  </w:font>
  <w:font w:name="Calibri">
    <w:altName w:val="Calibri"/>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540.539978pt;margin-top:30.341pt;width:28.5pt;height:15.45pt;mso-position-horizontal-relative:page;mso-position-vertical-relative:page;z-index:-8488" type="#_x0000_t202" filled="false" stroked="false">
          <v:textbox inset="0,0,0,0">
            <w:txbxContent>
              <w:p>
                <w:pPr>
                  <w:spacing w:before="13"/>
                  <w:ind w:left="40" w:right="0" w:firstLine="0"/>
                  <w:jc w:val="left"/>
                  <w:rPr>
                    <w:rFonts w:ascii="Tahoma"/>
                    <w:b/>
                    <w:sz w:val="22"/>
                  </w:rPr>
                </w:pPr>
                <w:r>
                  <w:rPr/>
                  <w:fldChar w:fldCharType="begin"/>
                </w:r>
                <w:r>
                  <w:rPr>
                    <w:rFonts w:ascii="Tahoma"/>
                    <w:b/>
                    <w:w w:val="90"/>
                    <w:sz w:val="22"/>
                  </w:rPr>
                  <w:instrText> PAGE </w:instrText>
                </w:r>
                <w:r>
                  <w:rPr/>
                  <w:fldChar w:fldCharType="separate"/>
                </w:r>
                <w:r>
                  <w:rPr/>
                  <w:t>3541</w:t>
                </w:r>
                <w:r>
                  <w:rPr/>
                  <w:fldChar w:fldCharType="end"/>
                </w:r>
              </w:p>
            </w:txbxContent>
          </v:textbox>
          <w10:wrap type="none"/>
        </v:shape>
      </w:pict>
    </w:r>
    <w:r>
      <w:rPr/>
      <w:pict>
        <v:shape style="position:absolute;margin-left:104.959999pt;margin-top:31.309999pt;width:401.9pt;height:14.25pt;mso-position-horizontal-relative:page;mso-position-vertical-relative:page;z-index:-8464" type="#_x0000_t202" filled="false" stroked="false">
          <v:textbox inset="0,0,0,0">
            <w:txbxContent>
              <w:p>
                <w:pPr>
                  <w:pStyle w:val="BodyText"/>
                  <w:spacing w:before="13"/>
                  <w:ind w:left="20"/>
                </w:pPr>
                <w:r>
                  <w:rPr>
                    <w:rFonts w:ascii="Tahoma"/>
                    <w:b/>
                  </w:rPr>
                  <w:t>Federal Register </w:t>
                </w:r>
                <w:r>
                  <w:rPr/>
                  <w:t>/ Vol. 83, No. 17 / Thursday, January 25, 2018 / Presidential Documents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440" from="45pt,48pt" to="567pt,48pt" stroked="true" strokeweight="2.2pt" strokecolor="#000000">
          <v:stroke dashstyle="solid"/>
          <w10:wrap type="none"/>
        </v:line>
      </w:pict>
    </w:r>
    <w:r>
      <w:rPr/>
      <w:pict>
        <v:line style="position:absolute;mso-position-horizontal-relative:page;mso-position-vertical-relative:page;z-index:-8416" from="45pt,52pt" to="567pt,52pt" stroked="true" strokeweight=".3pt" strokecolor="#000000">
          <v:stroke dashstyle="solid"/>
          <w10:wrap type="none"/>
        </v:line>
      </w:pict>
    </w:r>
    <w:r>
      <w:rPr/>
      <w:pict>
        <v:shape style="position:absolute;margin-left:43pt;margin-top:30.341pt;width:28.5pt;height:15.45pt;mso-position-horizontal-relative:page;mso-position-vertical-relative:page;z-index:-8392" type="#_x0000_t202" filled="false" stroked="false">
          <v:textbox inset="0,0,0,0">
            <w:txbxContent>
              <w:p>
                <w:pPr>
                  <w:spacing w:before="13"/>
                  <w:ind w:left="40" w:right="0" w:firstLine="0"/>
                  <w:jc w:val="left"/>
                  <w:rPr>
                    <w:rFonts w:ascii="Tahoma"/>
                    <w:b/>
                    <w:sz w:val="22"/>
                  </w:rPr>
                </w:pPr>
                <w:r>
                  <w:rPr/>
                  <w:fldChar w:fldCharType="begin"/>
                </w:r>
                <w:r>
                  <w:rPr>
                    <w:rFonts w:ascii="Tahoma"/>
                    <w:b/>
                    <w:w w:val="90"/>
                    <w:sz w:val="22"/>
                  </w:rPr>
                  <w:instrText> PAGE </w:instrText>
                </w:r>
                <w:r>
                  <w:rPr/>
                  <w:fldChar w:fldCharType="separate"/>
                </w:r>
                <w:r>
                  <w:rPr/>
                  <w:t>3542</w:t>
                </w:r>
                <w:r>
                  <w:rPr/>
                  <w:fldChar w:fldCharType="end"/>
                </w:r>
              </w:p>
            </w:txbxContent>
          </v:textbox>
          <w10:wrap type="none"/>
        </v:shape>
      </w:pict>
    </w:r>
    <w:r>
      <w:rPr/>
      <w:pict>
        <v:shape style="position:absolute;margin-left:104.959999pt;margin-top:31.309999pt;width:401.9pt;height:14.25pt;mso-position-horizontal-relative:page;mso-position-vertical-relative:page;z-index:-8368" type="#_x0000_t202" filled="false" stroked="false">
          <v:textbox inset="0,0,0,0">
            <w:txbxContent>
              <w:p>
                <w:pPr>
                  <w:pStyle w:val="BodyText"/>
                  <w:spacing w:before="13"/>
                  <w:ind w:left="20"/>
                </w:pPr>
                <w:r>
                  <w:rPr>
                    <w:rFonts w:ascii="Tahoma"/>
                    <w:b/>
                  </w:rPr>
                  <w:t>Federal Register </w:t>
                </w:r>
                <w:r>
                  <w:rPr/>
                  <w:t>/ Vol. 83, No. 17 / Thursday, January 25, 2018 / Presidential Documents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pt;margin-top:30.341pt;width:28.5pt;height:15.45pt;mso-position-horizontal-relative:page;mso-position-vertical-relative:page;z-index:-8344" type="#_x0000_t202" filled="false" stroked="false">
          <v:textbox inset="0,0,0,0">
            <w:txbxContent>
              <w:p>
                <w:pPr>
                  <w:spacing w:before="23"/>
                  <w:ind w:left="40" w:right="0" w:firstLine="0"/>
                  <w:jc w:val="left"/>
                  <w:rPr>
                    <w:rFonts w:ascii="Calibri"/>
                    <w:b/>
                    <w:sz w:val="22"/>
                  </w:rPr>
                </w:pPr>
                <w:r>
                  <w:rPr/>
                  <w:fldChar w:fldCharType="begin"/>
                </w:r>
                <w:r>
                  <w:rPr>
                    <w:rFonts w:ascii="Calibri"/>
                    <w:b/>
                    <w:w w:val="110"/>
                    <w:sz w:val="22"/>
                  </w:rPr>
                  <w:instrText> PAGE </w:instrText>
                </w:r>
                <w:r>
                  <w:rPr/>
                  <w:fldChar w:fldCharType="separate"/>
                </w:r>
                <w:r>
                  <w:rPr/>
                  <w:t>3546</w:t>
                </w:r>
                <w:r>
                  <w:rPr/>
                  <w:fldChar w:fldCharType="end"/>
                </w:r>
              </w:p>
            </w:txbxContent>
          </v:textbox>
          <w10:wrap type="none"/>
        </v:shape>
      </w:pict>
    </w:r>
    <w:r>
      <w:rPr/>
      <w:pict>
        <v:shape style="position:absolute;margin-left:104.959999pt;margin-top:31.309999pt;width:401.9pt;height:14.25pt;mso-position-horizontal-relative:page;mso-position-vertical-relative:page;z-index:-8320" type="#_x0000_t202" filled="false" stroked="false">
          <v:textbox inset="0,0,0,0">
            <w:txbxContent>
              <w:p>
                <w:pPr>
                  <w:pStyle w:val="BodyText"/>
                  <w:spacing w:before="23"/>
                  <w:ind w:left="20"/>
                </w:pPr>
                <w:r>
                  <w:rPr>
                    <w:rFonts w:ascii="Calibri"/>
                    <w:b/>
                  </w:rPr>
                  <w:t>Federal Register </w:t>
                </w:r>
                <w:r>
                  <w:rPr/>
                  <w:t>/ Vol. 83, No. 17 / Thursday, January 25, 2018 / Presidential Documents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0.539978pt;margin-top:30.341pt;width:28.5pt;height:15.45pt;mso-position-horizontal-relative:page;mso-position-vertical-relative:page;z-index:-8296" type="#_x0000_t202" filled="false" stroked="false">
          <v:textbox inset="0,0,0,0">
            <w:txbxContent>
              <w:p>
                <w:pPr>
                  <w:spacing w:before="24"/>
                  <w:ind w:left="40" w:right="0" w:firstLine="0"/>
                  <w:jc w:val="left"/>
                  <w:rPr>
                    <w:b/>
                    <w:sz w:val="22"/>
                  </w:rPr>
                </w:pPr>
                <w:r>
                  <w:rPr/>
                  <w:fldChar w:fldCharType="begin"/>
                </w:r>
                <w:r>
                  <w:rPr>
                    <w:b/>
                    <w:w w:val="95"/>
                    <w:sz w:val="22"/>
                  </w:rPr>
                  <w:instrText> PAGE </w:instrText>
                </w:r>
                <w:r>
                  <w:rPr/>
                  <w:fldChar w:fldCharType="separate"/>
                </w:r>
                <w:r>
                  <w:rPr/>
                  <w:t>3547</w:t>
                </w:r>
                <w:r>
                  <w:rPr/>
                  <w:fldChar w:fldCharType="end"/>
                </w:r>
              </w:p>
            </w:txbxContent>
          </v:textbox>
          <w10:wrap type="none"/>
        </v:shape>
      </w:pict>
    </w:r>
    <w:r>
      <w:rPr/>
      <w:pict>
        <v:shape style="position:absolute;margin-left:104.959999pt;margin-top:31.309999pt;width:401.9pt;height:14.25pt;mso-position-horizontal-relative:page;mso-position-vertical-relative:page;z-index:-8272" type="#_x0000_t202" filled="false" stroked="false">
          <v:textbox inset="0,0,0,0">
            <w:txbxContent>
              <w:p>
                <w:pPr>
                  <w:pStyle w:val="BodyText"/>
                  <w:spacing w:before="23"/>
                  <w:ind w:left="20"/>
                </w:pPr>
                <w:r>
                  <w:rPr>
                    <w:b/>
                  </w:rPr>
                  <w:t>Federal Register </w:t>
                </w:r>
                <w:r>
                  <w:rPr/>
                  <w:t>/ Vol. 83, No. 17 / Thursday, January 25, 2018 / Presidential Documents</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pt;margin-top:30.341pt;width:26.5pt;height:15.45pt;mso-position-horizontal-relative:page;mso-position-vertical-relative:page;z-index:-8248" type="#_x0000_t202" filled="false" stroked="false">
          <v:textbox inset="0,0,0,0">
            <w:txbxContent>
              <w:p>
                <w:pPr>
                  <w:spacing w:before="24"/>
                  <w:ind w:left="20" w:right="0" w:firstLine="0"/>
                  <w:jc w:val="left"/>
                  <w:rPr>
                    <w:b/>
                    <w:sz w:val="22"/>
                  </w:rPr>
                </w:pPr>
                <w:r>
                  <w:rPr>
                    <w:b/>
                    <w:w w:val="95"/>
                    <w:sz w:val="22"/>
                  </w:rPr>
                  <w:t>3550</w:t>
                </w:r>
              </w:p>
            </w:txbxContent>
          </v:textbox>
          <w10:wrap type="none"/>
        </v:shape>
      </w:pict>
    </w:r>
    <w:r>
      <w:rPr/>
      <w:pict>
        <v:shape style="position:absolute;margin-left:104.959999pt;margin-top:31.309999pt;width:401.9pt;height:14.25pt;mso-position-horizontal-relative:page;mso-position-vertical-relative:page;z-index:-8224" type="#_x0000_t202" filled="false" stroked="false">
          <v:textbox inset="0,0,0,0">
            <w:txbxContent>
              <w:p>
                <w:pPr>
                  <w:pStyle w:val="BodyText"/>
                  <w:spacing w:before="23"/>
                  <w:ind w:left="20"/>
                </w:pPr>
                <w:r>
                  <w:rPr>
                    <w:b/>
                  </w:rPr>
                  <w:t>Federal Register </w:t>
                </w:r>
                <w:r>
                  <w:rPr/>
                  <w:t>/ Vol. 83, No. 17 / Thursday, January 25, 2018 / Presidential Documents</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1.539978pt;margin-top:30.341pt;width:26.5pt;height:15.45pt;mso-position-horizontal-relative:page;mso-position-vertical-relative:page;z-index:-8200" type="#_x0000_t202" filled="false" stroked="false">
          <v:textbox inset="0,0,0,0">
            <w:txbxContent>
              <w:p>
                <w:pPr>
                  <w:spacing w:before="24"/>
                  <w:ind w:left="20" w:right="0" w:firstLine="0"/>
                  <w:jc w:val="left"/>
                  <w:rPr>
                    <w:b/>
                    <w:sz w:val="22"/>
                  </w:rPr>
                </w:pPr>
                <w:r>
                  <w:rPr>
                    <w:b/>
                    <w:w w:val="95"/>
                    <w:sz w:val="22"/>
                  </w:rPr>
                  <w:t>3551</w:t>
                </w:r>
              </w:p>
            </w:txbxContent>
          </v:textbox>
          <w10:wrap type="none"/>
        </v:shape>
      </w:pict>
    </w:r>
    <w:r>
      <w:rPr/>
      <w:pict>
        <v:shape style="position:absolute;margin-left:104.959999pt;margin-top:31.309999pt;width:401.9pt;height:14.25pt;mso-position-horizontal-relative:page;mso-position-vertical-relative:page;z-index:-8176" type="#_x0000_t202" filled="false" stroked="false">
          <v:textbox inset="0,0,0,0">
            <w:txbxContent>
              <w:p>
                <w:pPr>
                  <w:pStyle w:val="BodyText"/>
                  <w:spacing w:before="23"/>
                  <w:ind w:left="20"/>
                </w:pPr>
                <w:r>
                  <w:rPr>
                    <w:b/>
                  </w:rPr>
                  <w:t>Federal Register </w:t>
                </w:r>
                <w:r>
                  <w:rPr/>
                  <w:t>/ Vol. 83, No. 17 / Thursday, January 25, 2018 / Presidential Documents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lowerLetter"/>
      <w:lvlText w:val="(%1)"/>
      <w:lvlJc w:val="left"/>
      <w:pPr>
        <w:ind w:left="3340" w:hanging="309"/>
        <w:jc w:val="left"/>
      </w:pPr>
      <w:rPr>
        <w:rFonts w:hint="default" w:ascii="Cambria" w:hAnsi="Cambria" w:eastAsia="Cambria" w:cs="Cambria"/>
        <w:w w:val="93"/>
        <w:sz w:val="20"/>
        <w:szCs w:val="20"/>
      </w:rPr>
    </w:lvl>
    <w:lvl w:ilvl="1">
      <w:start w:val="0"/>
      <w:numFmt w:val="bullet"/>
      <w:lvlText w:val="•"/>
      <w:lvlJc w:val="left"/>
      <w:pPr>
        <w:ind w:left="4072" w:hanging="309"/>
      </w:pPr>
      <w:rPr>
        <w:rFonts w:hint="default"/>
      </w:rPr>
    </w:lvl>
    <w:lvl w:ilvl="2">
      <w:start w:val="0"/>
      <w:numFmt w:val="bullet"/>
      <w:lvlText w:val="•"/>
      <w:lvlJc w:val="left"/>
      <w:pPr>
        <w:ind w:left="4804" w:hanging="309"/>
      </w:pPr>
      <w:rPr>
        <w:rFonts w:hint="default"/>
      </w:rPr>
    </w:lvl>
    <w:lvl w:ilvl="3">
      <w:start w:val="0"/>
      <w:numFmt w:val="bullet"/>
      <w:lvlText w:val="•"/>
      <w:lvlJc w:val="left"/>
      <w:pPr>
        <w:ind w:left="5536" w:hanging="309"/>
      </w:pPr>
      <w:rPr>
        <w:rFonts w:hint="default"/>
      </w:rPr>
    </w:lvl>
    <w:lvl w:ilvl="4">
      <w:start w:val="0"/>
      <w:numFmt w:val="bullet"/>
      <w:lvlText w:val="•"/>
      <w:lvlJc w:val="left"/>
      <w:pPr>
        <w:ind w:left="6268" w:hanging="309"/>
      </w:pPr>
      <w:rPr>
        <w:rFonts w:hint="default"/>
      </w:rPr>
    </w:lvl>
    <w:lvl w:ilvl="5">
      <w:start w:val="0"/>
      <w:numFmt w:val="bullet"/>
      <w:lvlText w:val="•"/>
      <w:lvlJc w:val="left"/>
      <w:pPr>
        <w:ind w:left="7000" w:hanging="309"/>
      </w:pPr>
      <w:rPr>
        <w:rFonts w:hint="default"/>
      </w:rPr>
    </w:lvl>
    <w:lvl w:ilvl="6">
      <w:start w:val="0"/>
      <w:numFmt w:val="bullet"/>
      <w:lvlText w:val="•"/>
      <w:lvlJc w:val="left"/>
      <w:pPr>
        <w:ind w:left="7732" w:hanging="309"/>
      </w:pPr>
      <w:rPr>
        <w:rFonts w:hint="default"/>
      </w:rPr>
    </w:lvl>
    <w:lvl w:ilvl="7">
      <w:start w:val="0"/>
      <w:numFmt w:val="bullet"/>
      <w:lvlText w:val="•"/>
      <w:lvlJc w:val="left"/>
      <w:pPr>
        <w:ind w:left="8464" w:hanging="309"/>
      </w:pPr>
      <w:rPr>
        <w:rFonts w:hint="default"/>
      </w:rPr>
    </w:lvl>
    <w:lvl w:ilvl="8">
      <w:start w:val="0"/>
      <w:numFmt w:val="bullet"/>
      <w:lvlText w:val="•"/>
      <w:lvlJc w:val="left"/>
      <w:pPr>
        <w:ind w:left="9196" w:hanging="309"/>
      </w:pPr>
      <w:rPr>
        <w:rFonts w:hint="default"/>
      </w:rPr>
    </w:lvl>
  </w:abstractNum>
  <w:abstractNum w:abstractNumId="1">
    <w:multiLevelType w:val="hybridMultilevel"/>
    <w:lvl w:ilvl="0">
      <w:start w:val="1"/>
      <w:numFmt w:val="decimal"/>
      <w:lvlText w:val="(%1)"/>
      <w:lvlJc w:val="left"/>
      <w:pPr>
        <w:ind w:left="3540" w:hanging="312"/>
        <w:jc w:val="right"/>
      </w:pPr>
      <w:rPr>
        <w:rFonts w:hint="default" w:ascii="Cambria" w:hAnsi="Cambria" w:eastAsia="Cambria" w:cs="Cambria"/>
        <w:w w:val="92"/>
        <w:sz w:val="20"/>
        <w:szCs w:val="20"/>
      </w:rPr>
    </w:lvl>
    <w:lvl w:ilvl="1">
      <w:start w:val="0"/>
      <w:numFmt w:val="bullet"/>
      <w:lvlText w:val="•"/>
      <w:lvlJc w:val="left"/>
      <w:pPr>
        <w:ind w:left="4252" w:hanging="312"/>
      </w:pPr>
      <w:rPr>
        <w:rFonts w:hint="default"/>
      </w:rPr>
    </w:lvl>
    <w:lvl w:ilvl="2">
      <w:start w:val="0"/>
      <w:numFmt w:val="bullet"/>
      <w:lvlText w:val="•"/>
      <w:lvlJc w:val="left"/>
      <w:pPr>
        <w:ind w:left="4964" w:hanging="312"/>
      </w:pPr>
      <w:rPr>
        <w:rFonts w:hint="default"/>
      </w:rPr>
    </w:lvl>
    <w:lvl w:ilvl="3">
      <w:start w:val="0"/>
      <w:numFmt w:val="bullet"/>
      <w:lvlText w:val="•"/>
      <w:lvlJc w:val="left"/>
      <w:pPr>
        <w:ind w:left="5676" w:hanging="312"/>
      </w:pPr>
      <w:rPr>
        <w:rFonts w:hint="default"/>
      </w:rPr>
    </w:lvl>
    <w:lvl w:ilvl="4">
      <w:start w:val="0"/>
      <w:numFmt w:val="bullet"/>
      <w:lvlText w:val="•"/>
      <w:lvlJc w:val="left"/>
      <w:pPr>
        <w:ind w:left="6388" w:hanging="312"/>
      </w:pPr>
      <w:rPr>
        <w:rFonts w:hint="default"/>
      </w:rPr>
    </w:lvl>
    <w:lvl w:ilvl="5">
      <w:start w:val="0"/>
      <w:numFmt w:val="bullet"/>
      <w:lvlText w:val="•"/>
      <w:lvlJc w:val="left"/>
      <w:pPr>
        <w:ind w:left="7100" w:hanging="312"/>
      </w:pPr>
      <w:rPr>
        <w:rFonts w:hint="default"/>
      </w:rPr>
    </w:lvl>
    <w:lvl w:ilvl="6">
      <w:start w:val="0"/>
      <w:numFmt w:val="bullet"/>
      <w:lvlText w:val="•"/>
      <w:lvlJc w:val="left"/>
      <w:pPr>
        <w:ind w:left="7812" w:hanging="312"/>
      </w:pPr>
      <w:rPr>
        <w:rFonts w:hint="default"/>
      </w:rPr>
    </w:lvl>
    <w:lvl w:ilvl="7">
      <w:start w:val="0"/>
      <w:numFmt w:val="bullet"/>
      <w:lvlText w:val="•"/>
      <w:lvlJc w:val="left"/>
      <w:pPr>
        <w:ind w:left="8524" w:hanging="312"/>
      </w:pPr>
      <w:rPr>
        <w:rFonts w:hint="default"/>
      </w:rPr>
    </w:lvl>
    <w:lvl w:ilvl="8">
      <w:start w:val="0"/>
      <w:numFmt w:val="bullet"/>
      <w:lvlText w:val="•"/>
      <w:lvlJc w:val="left"/>
      <w:pPr>
        <w:ind w:left="9236" w:hanging="312"/>
      </w:pPr>
      <w:rPr>
        <w:rFonts w:hint="default"/>
      </w:rPr>
    </w:lvl>
  </w:abstractNum>
  <w:abstractNum w:abstractNumId="0">
    <w:multiLevelType w:val="hybridMultilevel"/>
    <w:lvl w:ilvl="0">
      <w:start w:val="1"/>
      <w:numFmt w:val="decimal"/>
      <w:lvlText w:val="%1."/>
      <w:lvlJc w:val="left"/>
      <w:pPr>
        <w:ind w:left="3340" w:hanging="237"/>
        <w:jc w:val="left"/>
      </w:pPr>
      <w:rPr>
        <w:rFonts w:hint="default" w:ascii="Cambria" w:hAnsi="Cambria" w:eastAsia="Cambria" w:cs="Cambria"/>
        <w:w w:val="109"/>
        <w:sz w:val="20"/>
        <w:szCs w:val="20"/>
      </w:rPr>
    </w:lvl>
    <w:lvl w:ilvl="1">
      <w:start w:val="1"/>
      <w:numFmt w:val="lowerLetter"/>
      <w:lvlText w:val="(%2)"/>
      <w:lvlJc w:val="left"/>
      <w:pPr>
        <w:ind w:left="3340" w:hanging="333"/>
        <w:jc w:val="left"/>
      </w:pPr>
      <w:rPr>
        <w:rFonts w:hint="default" w:ascii="Cambria" w:hAnsi="Cambria" w:eastAsia="Cambria" w:cs="Cambria"/>
        <w:w w:val="93"/>
        <w:sz w:val="20"/>
        <w:szCs w:val="20"/>
      </w:rPr>
    </w:lvl>
    <w:lvl w:ilvl="2">
      <w:start w:val="0"/>
      <w:numFmt w:val="bullet"/>
      <w:lvlText w:val="•"/>
      <w:lvlJc w:val="left"/>
      <w:pPr>
        <w:ind w:left="4804" w:hanging="333"/>
      </w:pPr>
      <w:rPr>
        <w:rFonts w:hint="default"/>
      </w:rPr>
    </w:lvl>
    <w:lvl w:ilvl="3">
      <w:start w:val="0"/>
      <w:numFmt w:val="bullet"/>
      <w:lvlText w:val="•"/>
      <w:lvlJc w:val="left"/>
      <w:pPr>
        <w:ind w:left="5536" w:hanging="333"/>
      </w:pPr>
      <w:rPr>
        <w:rFonts w:hint="default"/>
      </w:rPr>
    </w:lvl>
    <w:lvl w:ilvl="4">
      <w:start w:val="0"/>
      <w:numFmt w:val="bullet"/>
      <w:lvlText w:val="•"/>
      <w:lvlJc w:val="left"/>
      <w:pPr>
        <w:ind w:left="6268" w:hanging="333"/>
      </w:pPr>
      <w:rPr>
        <w:rFonts w:hint="default"/>
      </w:rPr>
    </w:lvl>
    <w:lvl w:ilvl="5">
      <w:start w:val="0"/>
      <w:numFmt w:val="bullet"/>
      <w:lvlText w:val="•"/>
      <w:lvlJc w:val="left"/>
      <w:pPr>
        <w:ind w:left="7000" w:hanging="333"/>
      </w:pPr>
      <w:rPr>
        <w:rFonts w:hint="default"/>
      </w:rPr>
    </w:lvl>
    <w:lvl w:ilvl="6">
      <w:start w:val="0"/>
      <w:numFmt w:val="bullet"/>
      <w:lvlText w:val="•"/>
      <w:lvlJc w:val="left"/>
      <w:pPr>
        <w:ind w:left="7732" w:hanging="333"/>
      </w:pPr>
      <w:rPr>
        <w:rFonts w:hint="default"/>
      </w:rPr>
    </w:lvl>
    <w:lvl w:ilvl="7">
      <w:start w:val="0"/>
      <w:numFmt w:val="bullet"/>
      <w:lvlText w:val="•"/>
      <w:lvlJc w:val="left"/>
      <w:pPr>
        <w:ind w:left="8464" w:hanging="333"/>
      </w:pPr>
      <w:rPr>
        <w:rFonts w:hint="default"/>
      </w:rPr>
    </w:lvl>
    <w:lvl w:ilvl="8">
      <w:start w:val="0"/>
      <w:numFmt w:val="bullet"/>
      <w:lvlText w:val="•"/>
      <w:lvlJc w:val="left"/>
      <w:pPr>
        <w:ind w:left="9196" w:hanging="333"/>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rPr>
  </w:style>
  <w:style w:styleId="BodyText" w:type="paragraph">
    <w:name w:val="Body Text"/>
    <w:basedOn w:val="Normal"/>
    <w:uiPriority w:val="1"/>
    <w:qFormat/>
    <w:pPr/>
    <w:rPr>
      <w:rFonts w:ascii="Cambria" w:hAnsi="Cambria" w:eastAsia="Cambria" w:cs="Cambria"/>
      <w:sz w:val="20"/>
      <w:szCs w:val="20"/>
    </w:rPr>
  </w:style>
  <w:style w:styleId="ListParagraph" w:type="paragraph">
    <w:name w:val="List Paragraph"/>
    <w:basedOn w:val="Normal"/>
    <w:uiPriority w:val="1"/>
    <w:qFormat/>
    <w:pPr>
      <w:spacing w:before="87"/>
      <w:ind w:left="3340" w:right="118"/>
      <w:jc w:val="both"/>
    </w:pPr>
    <w:rPr>
      <w:rFonts w:ascii="Cambria" w:hAnsi="Cambria" w:eastAsia="Cambria" w:cs="Cambria"/>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3.xml"/><Relationship Id="rId11" Type="http://schemas.openxmlformats.org/officeDocument/2006/relationships/header" Target="header4.xm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eader" Target="header5.xml"/><Relationship Id="rId17" Type="http://schemas.openxmlformats.org/officeDocument/2006/relationships/header" Target="header6.xml"/><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2018-01-29T10:44:00Z</dcterms:created>
  <dcterms:modified xsi:type="dcterms:W3CDTF">2018-01-29T10:44:00Z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2018-01-25T00:00:00Z</vt:filetime>
  </property>
  <property fmtid="{D5CDD505-2E9C-101B-9397-08002B2CF9AE}" pid="3" name="Creator">
    <vt:lpwstr>Federal Digital System, U. S. Government Publishing Office</vt:lpwstr>
  </property>
  <property fmtid="{D5CDD505-2E9C-101B-9397-08002B2CF9AE}" pid="4" name="LastSaved">
    <vt:filetime>2018-01-29T00:00:00Z</vt:filetime>
  </property>
</Properties>
</file>