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B423" w14:textId="77777777" w:rsidR="00E039A9" w:rsidRPr="00E039A9" w:rsidRDefault="00E039A9" w:rsidP="00E039A9">
      <w:pPr>
        <w:rPr>
          <w:rFonts w:eastAsia="Times New Roman"/>
          <w:color w:val="auto"/>
        </w:rPr>
      </w:pPr>
      <w:r w:rsidRPr="00E039A9">
        <w:rPr>
          <w:rFonts w:eastAsia="Times New Roman"/>
          <w:color w:val="auto"/>
        </w:rPr>
        <w:br/>
        <w:t>-------- Forwarded Message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E039A9" w:rsidRPr="00E039A9" w14:paraId="46004914" w14:textId="77777777" w:rsidTr="00E039A9">
        <w:trPr>
          <w:tblCellSpacing w:w="0" w:type="dxa"/>
        </w:trPr>
        <w:tc>
          <w:tcPr>
            <w:tcW w:w="0" w:type="auto"/>
            <w:noWrap/>
            <w:hideMark/>
          </w:tcPr>
          <w:p w14:paraId="47658C83" w14:textId="77777777" w:rsidR="00E039A9" w:rsidRPr="00E039A9" w:rsidRDefault="00E039A9" w:rsidP="00E039A9">
            <w:pPr>
              <w:jc w:val="right"/>
              <w:rPr>
                <w:rFonts w:eastAsia="Times New Roman"/>
                <w:b/>
                <w:bCs/>
                <w:color w:val="auto"/>
              </w:rPr>
            </w:pPr>
            <w:r w:rsidRPr="00E039A9">
              <w:rPr>
                <w:rFonts w:eastAsia="Times New Roman"/>
                <w:b/>
                <w:bCs/>
                <w:color w:val="auto"/>
              </w:rPr>
              <w:t xml:space="preserve">Subject: </w:t>
            </w:r>
          </w:p>
        </w:tc>
        <w:tc>
          <w:tcPr>
            <w:tcW w:w="0" w:type="auto"/>
            <w:vAlign w:val="center"/>
            <w:hideMark/>
          </w:tcPr>
          <w:p w14:paraId="1DCC69B7" w14:textId="77777777" w:rsidR="00E039A9" w:rsidRPr="00E039A9" w:rsidRDefault="00E039A9" w:rsidP="00E039A9">
            <w:pPr>
              <w:rPr>
                <w:rFonts w:eastAsia="Times New Roman"/>
                <w:color w:val="auto"/>
              </w:rPr>
            </w:pPr>
            <w:r w:rsidRPr="00E039A9">
              <w:rPr>
                <w:rFonts w:eastAsia="Times New Roman"/>
                <w:color w:val="auto"/>
              </w:rPr>
              <w:t>CSMS# 18-000240 - Additional Duty on Imports of Steel and Aluminum Articles under Section 232</w:t>
            </w:r>
          </w:p>
        </w:tc>
      </w:tr>
      <w:tr w:rsidR="00E039A9" w:rsidRPr="00E039A9" w14:paraId="71623789" w14:textId="77777777" w:rsidTr="00E039A9">
        <w:trPr>
          <w:tblCellSpacing w:w="0" w:type="dxa"/>
        </w:trPr>
        <w:tc>
          <w:tcPr>
            <w:tcW w:w="0" w:type="auto"/>
            <w:noWrap/>
            <w:hideMark/>
          </w:tcPr>
          <w:p w14:paraId="14005591" w14:textId="77777777" w:rsidR="00E039A9" w:rsidRPr="00E039A9" w:rsidRDefault="00E039A9" w:rsidP="00E039A9">
            <w:pPr>
              <w:jc w:val="right"/>
              <w:rPr>
                <w:rFonts w:eastAsia="Times New Roman"/>
                <w:b/>
                <w:bCs/>
                <w:color w:val="auto"/>
              </w:rPr>
            </w:pPr>
            <w:r w:rsidRPr="00E039A9">
              <w:rPr>
                <w:rFonts w:eastAsia="Times New Roman"/>
                <w:b/>
                <w:bCs/>
                <w:color w:val="auto"/>
              </w:rPr>
              <w:t xml:space="preserve">Date: </w:t>
            </w:r>
          </w:p>
        </w:tc>
        <w:tc>
          <w:tcPr>
            <w:tcW w:w="0" w:type="auto"/>
            <w:vAlign w:val="center"/>
            <w:hideMark/>
          </w:tcPr>
          <w:p w14:paraId="6BDF5239" w14:textId="77777777" w:rsidR="00E039A9" w:rsidRPr="00E039A9" w:rsidRDefault="00E039A9" w:rsidP="00E039A9">
            <w:pPr>
              <w:rPr>
                <w:rFonts w:eastAsia="Times New Roman"/>
                <w:color w:val="auto"/>
              </w:rPr>
            </w:pPr>
            <w:r w:rsidRPr="00E039A9">
              <w:rPr>
                <w:rFonts w:eastAsia="Times New Roman"/>
                <w:color w:val="auto"/>
              </w:rPr>
              <w:t>Fri, 23 Mar 2018 03:46:30 +0000</w:t>
            </w:r>
          </w:p>
        </w:tc>
      </w:tr>
      <w:tr w:rsidR="00E039A9" w:rsidRPr="00E039A9" w14:paraId="28E8666E" w14:textId="77777777" w:rsidTr="00E039A9">
        <w:trPr>
          <w:tblCellSpacing w:w="0" w:type="dxa"/>
        </w:trPr>
        <w:tc>
          <w:tcPr>
            <w:tcW w:w="0" w:type="auto"/>
            <w:noWrap/>
            <w:hideMark/>
          </w:tcPr>
          <w:p w14:paraId="5FF97316" w14:textId="77777777" w:rsidR="00E039A9" w:rsidRPr="00E039A9" w:rsidRDefault="00E039A9" w:rsidP="00E039A9">
            <w:pPr>
              <w:jc w:val="right"/>
              <w:rPr>
                <w:rFonts w:eastAsia="Times New Roman"/>
                <w:b/>
                <w:bCs/>
                <w:color w:val="auto"/>
              </w:rPr>
            </w:pPr>
            <w:r w:rsidRPr="00E039A9">
              <w:rPr>
                <w:rFonts w:eastAsia="Times New Roman"/>
                <w:b/>
                <w:bCs/>
                <w:color w:val="auto"/>
              </w:rPr>
              <w:t xml:space="preserve">From: </w:t>
            </w:r>
          </w:p>
        </w:tc>
        <w:tc>
          <w:tcPr>
            <w:tcW w:w="0" w:type="auto"/>
            <w:vAlign w:val="center"/>
            <w:hideMark/>
          </w:tcPr>
          <w:p w14:paraId="7FC0F79E" w14:textId="77777777" w:rsidR="00E039A9" w:rsidRPr="00E039A9" w:rsidRDefault="00E039A9" w:rsidP="00E039A9">
            <w:pPr>
              <w:rPr>
                <w:rFonts w:eastAsia="Times New Roman"/>
                <w:color w:val="auto"/>
              </w:rPr>
            </w:pPr>
            <w:r w:rsidRPr="00E039A9">
              <w:rPr>
                <w:rFonts w:eastAsia="Times New Roman"/>
                <w:color w:val="auto"/>
              </w:rPr>
              <w:t>U.S. Customs and Border Protection &lt;cbp@service.govdelivery.com&gt;</w:t>
            </w:r>
          </w:p>
        </w:tc>
      </w:tr>
      <w:tr w:rsidR="00E039A9" w:rsidRPr="00E039A9" w14:paraId="204554A9" w14:textId="77777777" w:rsidTr="00E039A9">
        <w:trPr>
          <w:tblCellSpacing w:w="0" w:type="dxa"/>
        </w:trPr>
        <w:tc>
          <w:tcPr>
            <w:tcW w:w="0" w:type="auto"/>
            <w:noWrap/>
          </w:tcPr>
          <w:p w14:paraId="76AE5184" w14:textId="442FC2E4" w:rsidR="00E039A9" w:rsidRPr="00E039A9" w:rsidRDefault="00E039A9" w:rsidP="00E039A9">
            <w:pPr>
              <w:jc w:val="right"/>
              <w:rPr>
                <w:rFonts w:eastAsia="Times New Roman"/>
                <w:b/>
                <w:bCs/>
                <w:color w:val="auto"/>
              </w:rPr>
            </w:pPr>
            <w:bookmarkStart w:id="0" w:name="_GoBack"/>
            <w:bookmarkEnd w:id="0"/>
          </w:p>
        </w:tc>
        <w:tc>
          <w:tcPr>
            <w:tcW w:w="0" w:type="auto"/>
            <w:vAlign w:val="center"/>
          </w:tcPr>
          <w:p w14:paraId="187A20B4" w14:textId="5FD331F1" w:rsidR="00E039A9" w:rsidRPr="00E039A9" w:rsidRDefault="00E039A9" w:rsidP="00E039A9">
            <w:pPr>
              <w:rPr>
                <w:rFonts w:eastAsia="Times New Roman"/>
                <w:color w:val="auto"/>
              </w:rPr>
            </w:pPr>
          </w:p>
        </w:tc>
      </w:tr>
      <w:tr w:rsidR="00E039A9" w:rsidRPr="00E039A9" w14:paraId="358FC106" w14:textId="77777777" w:rsidTr="00E039A9">
        <w:trPr>
          <w:tblCellSpacing w:w="0" w:type="dxa"/>
        </w:trPr>
        <w:tc>
          <w:tcPr>
            <w:tcW w:w="0" w:type="auto"/>
            <w:noWrap/>
          </w:tcPr>
          <w:p w14:paraId="1ECDA4DF" w14:textId="006F4D95" w:rsidR="00E039A9" w:rsidRPr="00E039A9" w:rsidRDefault="00E039A9" w:rsidP="00E039A9">
            <w:pPr>
              <w:jc w:val="right"/>
              <w:rPr>
                <w:rFonts w:eastAsia="Times New Roman"/>
                <w:b/>
                <w:bCs/>
                <w:color w:val="auto"/>
              </w:rPr>
            </w:pPr>
          </w:p>
        </w:tc>
        <w:tc>
          <w:tcPr>
            <w:tcW w:w="0" w:type="auto"/>
            <w:vAlign w:val="center"/>
          </w:tcPr>
          <w:p w14:paraId="523AD1CF" w14:textId="77548495" w:rsidR="00E039A9" w:rsidRPr="00E039A9" w:rsidRDefault="00E039A9" w:rsidP="00E039A9">
            <w:pPr>
              <w:rPr>
                <w:rFonts w:eastAsia="Times New Roman"/>
                <w:color w:val="auto"/>
              </w:rPr>
            </w:pPr>
          </w:p>
        </w:tc>
      </w:tr>
    </w:tbl>
    <w:p w14:paraId="66ECE050" w14:textId="77777777" w:rsidR="00E039A9" w:rsidRPr="00E039A9" w:rsidRDefault="00E039A9" w:rsidP="00E039A9">
      <w:pPr>
        <w:spacing w:after="240"/>
        <w:rPr>
          <w:rFonts w:eastAsia="Times New Roman"/>
          <w:color w:val="auto"/>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039A9" w:rsidRPr="00E039A9" w14:paraId="47DCCE08" w14:textId="77777777" w:rsidTr="00E039A9">
        <w:trPr>
          <w:tblCellSpacing w:w="0" w:type="dxa"/>
          <w:jc w:val="center"/>
        </w:trPr>
        <w:tc>
          <w:tcPr>
            <w:tcW w:w="0" w:type="auto"/>
            <w:vAlign w:val="center"/>
            <w:hideMark/>
          </w:tcPr>
          <w:p w14:paraId="286654CD" w14:textId="77777777" w:rsidR="00E039A9" w:rsidRPr="00E039A9" w:rsidRDefault="00E039A9" w:rsidP="00E039A9">
            <w:pPr>
              <w:spacing w:before="100" w:beforeAutospacing="1" w:after="100" w:afterAutospacing="1"/>
              <w:rPr>
                <w:rFonts w:eastAsia="Times New Roman"/>
                <w:color w:val="auto"/>
              </w:rPr>
            </w:pPr>
            <w:r w:rsidRPr="00E039A9">
              <w:rPr>
                <w:rFonts w:eastAsia="Times New Roman"/>
                <w:color w:val="auto"/>
              </w:rPr>
              <w:t xml:space="preserve">You are subscribed to ACE Reports for U.S. Customs and Border Protection. This information has recently been </w:t>
            </w:r>
            <w:proofErr w:type="gramStart"/>
            <w:r w:rsidRPr="00E039A9">
              <w:rPr>
                <w:rFonts w:eastAsia="Times New Roman"/>
                <w:color w:val="auto"/>
              </w:rPr>
              <w:t>updated, and</w:t>
            </w:r>
            <w:proofErr w:type="gramEnd"/>
            <w:r w:rsidRPr="00E039A9">
              <w:rPr>
                <w:rFonts w:eastAsia="Times New Roman"/>
                <w:color w:val="auto"/>
              </w:rPr>
              <w:t xml:space="preserve"> is now available.</w:t>
            </w:r>
          </w:p>
          <w:p w14:paraId="78CFF9FC" w14:textId="77777777" w:rsidR="00E039A9" w:rsidRPr="00E039A9" w:rsidRDefault="00E039A9" w:rsidP="00E039A9">
            <w:pPr>
              <w:rPr>
                <w:rFonts w:eastAsia="Times New Roman"/>
                <w:b/>
                <w:bCs/>
                <w:color w:val="auto"/>
                <w:sz w:val="29"/>
                <w:szCs w:val="29"/>
              </w:rPr>
            </w:pPr>
            <w:hyperlink r:id="rId4" w:history="1">
              <w:r w:rsidRPr="00E039A9">
                <w:rPr>
                  <w:rFonts w:eastAsia="Times New Roman"/>
                  <w:b/>
                  <w:bCs/>
                  <w:color w:val="0000FF"/>
                  <w:sz w:val="29"/>
                  <w:szCs w:val="29"/>
                  <w:u w:val="single"/>
                </w:rPr>
                <w:t>CSMS# 18-000240 - Additional Duty on Imports of Steel and Aluminum Articles under Section 232</w:t>
              </w:r>
            </w:hyperlink>
          </w:p>
          <w:p w14:paraId="5DB63D9E" w14:textId="77777777" w:rsidR="00E039A9" w:rsidRPr="00E039A9" w:rsidRDefault="00E039A9" w:rsidP="00E039A9">
            <w:pPr>
              <w:rPr>
                <w:rFonts w:eastAsia="Times New Roman"/>
                <w:i/>
                <w:iCs/>
                <w:color w:val="666666"/>
                <w:sz w:val="22"/>
                <w:szCs w:val="22"/>
              </w:rPr>
            </w:pPr>
            <w:r w:rsidRPr="00E039A9">
              <w:rPr>
                <w:rFonts w:eastAsia="Times New Roman"/>
                <w:i/>
                <w:iCs/>
                <w:color w:val="666666"/>
                <w:sz w:val="22"/>
                <w:szCs w:val="22"/>
              </w:rPr>
              <w:t>03/22/2018 11:39 PM EDT</w:t>
            </w:r>
          </w:p>
          <w:p w14:paraId="3366C704" w14:textId="77777777" w:rsidR="00E039A9" w:rsidRPr="00E039A9" w:rsidRDefault="00E039A9" w:rsidP="00E039A9">
            <w:pPr>
              <w:rPr>
                <w:rFonts w:eastAsia="Times New Roman"/>
                <w:color w:val="auto"/>
              </w:rPr>
            </w:pPr>
          </w:p>
          <w:p w14:paraId="08EDBE85" w14:textId="77777777" w:rsidR="00E039A9" w:rsidRPr="00E039A9" w:rsidRDefault="00E039A9" w:rsidP="00E039A9">
            <w:pPr>
              <w:rPr>
                <w:rFonts w:eastAsia="Times New Roman"/>
                <w:color w:val="auto"/>
              </w:rPr>
            </w:pPr>
            <w:r w:rsidRPr="00E039A9">
              <w:rPr>
                <w:rFonts w:eastAsia="Times New Roman"/>
                <w:b/>
                <w:bCs/>
                <w:color w:val="auto"/>
              </w:rPr>
              <w:t>ACE Reports</w:t>
            </w:r>
            <w:r w:rsidRPr="00E039A9">
              <w:rPr>
                <w:rFonts w:eastAsia="Times New Roman"/>
                <w:color w:val="auto"/>
              </w:rPr>
              <w:br/>
            </w:r>
            <w:r w:rsidRPr="00E039A9">
              <w:rPr>
                <w:rFonts w:eastAsia="Times New Roman"/>
                <w:color w:val="auto"/>
              </w:rPr>
              <w:br/>
              <w:t>Additional Duty on Imports of Steel and Aluminum Articles under Section 232 of the Trade Expansion Act of 1962</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BACKGROUND:</w:t>
            </w:r>
            <w:r w:rsidRPr="00E039A9">
              <w:rPr>
                <w:rFonts w:eastAsia="Times New Roman"/>
                <w:color w:val="auto"/>
              </w:rPr>
              <w:br/>
            </w:r>
            <w:r w:rsidRPr="00E039A9">
              <w:rPr>
                <w:rFonts w:eastAsia="Times New Roman"/>
                <w:color w:val="auto"/>
              </w:rPr>
              <w:br/>
              <w:t>On March 8, 2018, the President issued Proclamations 9704 and 9705 on Adjusting Imports of Steel and Aluminum into the United States, under Section 232 of the Trade Expansion Act of 1962, as amended (19 U.S.C. 1862), providing for additional import duties for steel mill and aluminum articles, effective March 23, 2018. See the Federal Register, 83 FR 11619 and 83 FR 11625, March 15, 2018. On March 22, 2018, the President issued Proclamations on Adjusting Imports of Steel and Aluminum into the United States.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These duty requirements are effective with respect to goods entered, or withdrawn from warehouse for consumption, on or after 12:01 a.m. eastern daylight time on March 23, 2018.</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COMMODITY:</w:t>
            </w:r>
            <w:r w:rsidRPr="00E039A9">
              <w:rPr>
                <w:rFonts w:eastAsia="Times New Roman"/>
                <w:color w:val="auto"/>
              </w:rPr>
              <w:br/>
            </w:r>
            <w:r w:rsidRPr="00E039A9">
              <w:rPr>
                <w:rFonts w:eastAsia="Times New Roman"/>
                <w:color w:val="auto"/>
              </w:rPr>
              <w:br/>
              <w:t xml:space="preserve">Steel mill and aluminum articles, as specified in the Presidential Proclamations. </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COUNTRIES COVERED:</w:t>
            </w:r>
            <w:r w:rsidRPr="00E039A9">
              <w:rPr>
                <w:rFonts w:eastAsia="Times New Roman"/>
                <w:color w:val="auto"/>
              </w:rPr>
              <w:br/>
            </w:r>
            <w:r w:rsidRPr="00E039A9">
              <w:rPr>
                <w:rFonts w:eastAsia="Times New Roman"/>
                <w:color w:val="auto"/>
              </w:rPr>
              <w:lastRenderedPageBreak/>
              <w:br/>
              <w:t>March 23, 2018 through April 30, 2018: All countries of origin except Canada, Mexico, Australia, Argentina, South Korea, Brazil and member countries of the European Union (Austria, Belgium, Bulgaria, Croatia, Cyprus, Czech Republic, Denmark, Estonia, Finland, France, Germany, Greece, Hungary, Ireland, Italy, Latvia, Lithuania, Luxembourg, Malta, Netherlands, Poland, Portugal, Romania, Slovakia, Slovenia, Spain, Sweden and the United Kingdom).</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 xml:space="preserve">As of May 1, 2018: All countries of origin. </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Please note this is based on the country of origin, not the country of export.</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 xml:space="preserve">ENTRY SUMMARY FILING INSTRUCTIONS: </w:t>
            </w:r>
            <w:r w:rsidRPr="00E039A9">
              <w:rPr>
                <w:rFonts w:eastAsia="Times New Roman"/>
                <w:color w:val="auto"/>
              </w:rPr>
              <w:br/>
            </w:r>
            <w:r w:rsidRPr="00E039A9">
              <w:rPr>
                <w:rFonts w:eastAsia="Times New Roman"/>
                <w:color w:val="auto"/>
              </w:rPr>
              <w:br/>
              <w:t xml:space="preserve">Steel Products </w:t>
            </w:r>
            <w:r w:rsidRPr="00E039A9">
              <w:rPr>
                <w:rFonts w:eastAsia="Times New Roman"/>
                <w:color w:val="auto"/>
              </w:rPr>
              <w:br/>
            </w:r>
            <w:r w:rsidRPr="00E039A9">
              <w:rPr>
                <w:rFonts w:eastAsia="Times New Roman"/>
                <w:color w:val="auto"/>
              </w:rPr>
              <w:br/>
              <w:t>In addition to reporting the regular Chapters 72 &amp; 73 of the Harmonized Tariff Schedule (HTS) classification for the imported merchandise, importers shall report the following HTS classification for imported merchandise subject to the additional duty:</w:t>
            </w:r>
            <w:r w:rsidRPr="00E039A9">
              <w:rPr>
                <w:rFonts w:eastAsia="Times New Roman"/>
                <w:color w:val="auto"/>
              </w:rPr>
              <w:br/>
            </w:r>
            <w:r w:rsidRPr="00E039A9">
              <w:rPr>
                <w:rFonts w:eastAsia="Times New Roman"/>
                <w:color w:val="auto"/>
              </w:rPr>
              <w:br/>
              <w:t>9903.80.01 (25 percent ad valorem additional duty for steel mill products)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 xml:space="preserve">Aluminum Products </w:t>
            </w:r>
            <w:r w:rsidRPr="00E039A9">
              <w:rPr>
                <w:rFonts w:eastAsia="Times New Roman"/>
                <w:color w:val="auto"/>
              </w:rPr>
              <w:br/>
            </w:r>
            <w:r w:rsidRPr="00E039A9">
              <w:rPr>
                <w:rFonts w:eastAsia="Times New Roman"/>
                <w:color w:val="auto"/>
              </w:rPr>
              <w:br/>
              <w:t xml:space="preserve">In addition to reporting the regular Chapter 76 of the HTS classification for the imported merchandise, importers shall report the following HTS classification for imported merchandise subject to the additional duty: </w:t>
            </w:r>
            <w:r w:rsidRPr="00E039A9">
              <w:rPr>
                <w:rFonts w:eastAsia="Times New Roman"/>
                <w:color w:val="auto"/>
              </w:rPr>
              <w:br/>
            </w:r>
            <w:r w:rsidRPr="00E039A9">
              <w:rPr>
                <w:rFonts w:eastAsia="Times New Roman"/>
                <w:color w:val="auto"/>
              </w:rPr>
              <w:br/>
              <w:t>9903.85.01 (10 percent ad valorem additional duty for aluminum products)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Importers and filers failing to submit the required Chapter 99 HTS classifications with the entry summary information for imports under the specified Chapter 72, 73, and 76 HTS classifications for the covered countries of origin will receive the following reject messages: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 xml:space="preserve">E1 IQ10 LINE SUBJECT TO QUOTA </w:t>
            </w:r>
            <w:r w:rsidRPr="00E039A9">
              <w:rPr>
                <w:rFonts w:eastAsia="Times New Roman"/>
                <w:color w:val="auto"/>
              </w:rPr>
              <w:br/>
            </w:r>
            <w:r w:rsidRPr="00E039A9">
              <w:rPr>
                <w:rFonts w:eastAsia="Times New Roman"/>
                <w:color w:val="auto"/>
              </w:rPr>
              <w:lastRenderedPageBreak/>
              <w:br/>
              <w:t xml:space="preserve">E1 FQ09 QUOTA NOT ALLOWED FOR ENTRY TYPE </w:t>
            </w:r>
            <w:r w:rsidRPr="00E039A9">
              <w:rPr>
                <w:rFonts w:eastAsia="Times New Roman"/>
                <w:color w:val="auto"/>
              </w:rPr>
              <w:br/>
            </w:r>
            <w:r w:rsidRPr="00E039A9">
              <w:rPr>
                <w:rFonts w:eastAsia="Times New Roman"/>
                <w:color w:val="auto"/>
              </w:rPr>
              <w:br/>
              <w:t xml:space="preserve">E1 FQ05 BANNED IMPORT </w:t>
            </w:r>
            <w:r w:rsidRPr="00E039A9">
              <w:rPr>
                <w:rFonts w:eastAsia="Times New Roman"/>
                <w:color w:val="auto"/>
              </w:rPr>
              <w:br/>
            </w:r>
            <w:r w:rsidRPr="00E039A9">
              <w:rPr>
                <w:rFonts w:eastAsia="Times New Roman"/>
                <w:color w:val="auto"/>
              </w:rPr>
              <w:br/>
              <w:t xml:space="preserve">E1 RF998 TRANSACTION DATA REJECTED </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Note: Quota is not in effect, but this ACE functionality is being used to validate entry summary transmissions and reject when validations determine the data is missing the required chapter 99 number.</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Importers or filers receiving one of the reject messages above, who have researched their classification and dates to confirm the entry summaries were incorrectly rejected, should contact their assigned Client Representative with the results of their review.</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Additional Information</w:t>
            </w:r>
            <w:r w:rsidRPr="00E039A9">
              <w:rPr>
                <w:rFonts w:eastAsia="Times New Roman"/>
                <w:color w:val="auto"/>
              </w:rPr>
              <w:br/>
            </w:r>
            <w:r w:rsidRPr="00E039A9">
              <w:rPr>
                <w:rFonts w:eastAsia="Times New Roman"/>
                <w:color w:val="auto"/>
              </w:rPr>
              <w:br/>
              <w:t>Any steel or aluminum article subject to the Section 232 duties that is admitted into U.S. foreign trade zones on or after 12:01 a.m. eastern daylight time on March 23, 2018, must be admitted as “privileged foreign status” as defined in 19 CFR 146.41, and will be subject upon entry for consumption to any ad valorem rates of duty related to the classification under the applicable HTSUS subheading.</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Any steel or aluminum article that was admitted into U.S. foreign trade zones under "privileged foreign status" as defined in 19 CFR 146.41, prior to 12:01 a.m. eastern daylight time on March 23, 2018, will likewise be subject upon entry for consumption to any ad valorem rates of duty related to the classification under applicable HTSUS subheadings imposed by the Proclamations.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The merchandise covered by the additional duties may also be subject to antidumping and countervailing duties.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 xml:space="preserve">CBP will issue additional guidance on entry requirements for any products excluded from these measures, as soon as information is available. CBP will also issue updated guidance if there are any changes to these measures, including any changes to exempted countries and any new requirements, such as quota requirements. </w:t>
            </w:r>
            <w:r w:rsidRPr="00E039A9">
              <w:rPr>
                <w:rFonts w:eastAsia="Times New Roman"/>
                <w:color w:val="auto"/>
              </w:rPr>
              <w:br/>
            </w:r>
            <w:r w:rsidRPr="00E039A9">
              <w:rPr>
                <w:rFonts w:eastAsia="Times New Roman"/>
                <w:color w:val="auto"/>
              </w:rPr>
              <w:br/>
            </w:r>
            <w:r w:rsidRPr="00E039A9">
              <w:rPr>
                <w:rFonts w:eastAsia="Times New Roman"/>
                <w:color w:val="auto"/>
              </w:rPr>
              <w:lastRenderedPageBreak/>
              <w:br/>
            </w:r>
            <w:r w:rsidRPr="00E039A9">
              <w:rPr>
                <w:rFonts w:eastAsia="Times New Roman"/>
                <w:color w:val="auto"/>
              </w:rPr>
              <w:br/>
              <w:t>FOR FURTHER INFORMATION:</w:t>
            </w:r>
            <w:r w:rsidRPr="00E039A9">
              <w:rPr>
                <w:rFonts w:eastAsia="Times New Roman"/>
                <w:color w:val="auto"/>
              </w:rPr>
              <w:br/>
            </w:r>
            <w:r w:rsidRPr="00E039A9">
              <w:rPr>
                <w:rFonts w:eastAsia="Times New Roman"/>
                <w:color w:val="auto"/>
              </w:rPr>
              <w:br/>
              <w:t>For more information, please refer to the Presidential Proclamations on Adjusting Imports of Steel and Aluminum into the United States, Federal Register, 83 FR 11619 and 83 FR 11625, March 15, 2018; and the March 22, 2018 Presidential Proclamations on Adjusting Imports of Steel and Aluminum into the United States.</w:t>
            </w:r>
            <w:r w:rsidRPr="00E039A9">
              <w:rPr>
                <w:rFonts w:eastAsia="Times New Roman"/>
                <w:color w:val="auto"/>
              </w:rPr>
              <w:br/>
            </w:r>
            <w:r w:rsidRPr="00E039A9">
              <w:rPr>
                <w:rFonts w:eastAsia="Times New Roman"/>
                <w:color w:val="auto"/>
              </w:rPr>
              <w:br/>
            </w:r>
            <w:r w:rsidRPr="00E039A9">
              <w:rPr>
                <w:rFonts w:eastAsia="Times New Roman"/>
                <w:color w:val="auto"/>
              </w:rPr>
              <w:br/>
            </w:r>
            <w:r w:rsidRPr="00E039A9">
              <w:rPr>
                <w:rFonts w:eastAsia="Times New Roman"/>
                <w:color w:val="auto"/>
              </w:rPr>
              <w:br/>
              <w:t>Questions related to Section 232 entry filing requirements should be emailed to adcvdissues-hq@cbp.dhs.gov. Questions from the importing community concerning ACE rejections should be referred to their Client Representative.</w:t>
            </w:r>
            <w:r w:rsidRPr="00E039A9">
              <w:rPr>
                <w:rFonts w:eastAsia="Times New Roman"/>
                <w:color w:val="auto"/>
              </w:rPr>
              <w:br/>
            </w:r>
            <w:r w:rsidRPr="00E039A9">
              <w:rPr>
                <w:rFonts w:eastAsia="Times New Roman"/>
                <w:color w:val="auto"/>
              </w:rPr>
              <w:br/>
            </w:r>
          </w:p>
          <w:p w14:paraId="23B2B488" w14:textId="385DBCED" w:rsidR="00E039A9" w:rsidRPr="00E039A9" w:rsidRDefault="00E039A9" w:rsidP="00E039A9">
            <w:pPr>
              <w:spacing w:before="100" w:beforeAutospacing="1" w:after="100" w:afterAutospacing="1"/>
              <w:rPr>
                <w:rFonts w:eastAsia="Times New Roman"/>
                <w:color w:val="auto"/>
              </w:rPr>
            </w:pPr>
            <w:r w:rsidRPr="00E039A9">
              <w:rPr>
                <w:rFonts w:eastAsia="Times New Roman"/>
                <w:noProof/>
                <w:color w:val="0000FF"/>
              </w:rPr>
              <w:drawing>
                <wp:inline distT="0" distB="0" distL="0" distR="0" wp14:anchorId="6DE1BBB2" wp14:editId="40EF535C">
                  <wp:extent cx="792480" cy="152400"/>
                  <wp:effectExtent l="0" t="0" r="7620" b="0"/>
                  <wp:docPr id="1" name="Picture 1" descr="Bookmark and Shar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nd Shar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152400"/>
                          </a:xfrm>
                          <a:prstGeom prst="rect">
                            <a:avLst/>
                          </a:prstGeom>
                          <a:noFill/>
                          <a:ln>
                            <a:noFill/>
                          </a:ln>
                        </pic:spPr>
                      </pic:pic>
                    </a:graphicData>
                  </a:graphic>
                </wp:inline>
              </w:drawing>
            </w:r>
          </w:p>
          <w:p w14:paraId="19C4926F" w14:textId="77777777" w:rsidR="00E039A9" w:rsidRPr="00E039A9" w:rsidRDefault="00E039A9" w:rsidP="00E039A9">
            <w:pPr>
              <w:rPr>
                <w:rFonts w:eastAsia="Times New Roman"/>
                <w:color w:val="auto"/>
              </w:rPr>
            </w:pPr>
            <w:r w:rsidRPr="00E039A9">
              <w:rPr>
                <w:rFonts w:eastAsia="Times New Roman"/>
                <w:color w:val="auto"/>
              </w:rPr>
              <w:pict w14:anchorId="07EA9354">
                <v:rect id="_x0000_i1026" style="width:0;height:1.5pt" o:hralign="center" o:hrstd="t" o:hr="t" fillcolor="#a0a0a0" stroked="f"/>
              </w:pict>
            </w:r>
          </w:p>
          <w:p w14:paraId="7460FD28" w14:textId="7F259507" w:rsidR="00E039A9" w:rsidRPr="00E039A9" w:rsidRDefault="00E039A9" w:rsidP="00E039A9">
            <w:pPr>
              <w:spacing w:before="100" w:beforeAutospacing="1" w:after="100" w:afterAutospacing="1"/>
              <w:rPr>
                <w:rFonts w:eastAsia="Times New Roman"/>
                <w:color w:val="auto"/>
              </w:rPr>
            </w:pPr>
          </w:p>
        </w:tc>
      </w:tr>
    </w:tbl>
    <w:p w14:paraId="5133DD80" w14:textId="6261AFD3" w:rsidR="00963CE3" w:rsidRPr="00E039A9" w:rsidRDefault="00963CE3" w:rsidP="00E039A9"/>
    <w:sectPr w:rsidR="00963CE3" w:rsidRPr="00E03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A9"/>
    <w:rsid w:val="000F4367"/>
    <w:rsid w:val="00107696"/>
    <w:rsid w:val="001F44A9"/>
    <w:rsid w:val="0091670B"/>
    <w:rsid w:val="00963CE3"/>
    <w:rsid w:val="00A32E5F"/>
    <w:rsid w:val="00E0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0D32"/>
  <w15:chartTrackingRefBased/>
  <w15:docId w15:val="{2ACB97AD-F046-4188-9C92-FFBA7C88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4A9"/>
    <w:pPr>
      <w:spacing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9A9"/>
    <w:pPr>
      <w:spacing w:before="100" w:beforeAutospacing="1" w:after="100" w:afterAutospacing="1"/>
    </w:pPr>
    <w:rPr>
      <w:rFonts w:eastAsia="Times New Roman"/>
      <w:color w:val="auto"/>
    </w:rPr>
  </w:style>
  <w:style w:type="character" w:styleId="Hyperlink">
    <w:name w:val="Hyperlink"/>
    <w:basedOn w:val="DefaultParagraphFont"/>
    <w:uiPriority w:val="99"/>
    <w:semiHidden/>
    <w:unhideWhenUsed/>
    <w:rsid w:val="00E0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9462">
      <w:bodyDiv w:val="1"/>
      <w:marLeft w:val="0"/>
      <w:marRight w:val="0"/>
      <w:marTop w:val="0"/>
      <w:marBottom w:val="0"/>
      <w:divBdr>
        <w:top w:val="none" w:sz="0" w:space="0" w:color="auto"/>
        <w:left w:val="none" w:sz="0" w:space="0" w:color="auto"/>
        <w:bottom w:val="none" w:sz="0" w:space="0" w:color="auto"/>
        <w:right w:val="none" w:sz="0" w:space="0" w:color="auto"/>
      </w:divBdr>
    </w:div>
    <w:div w:id="1790010593">
      <w:bodyDiv w:val="1"/>
      <w:marLeft w:val="0"/>
      <w:marRight w:val="0"/>
      <w:marTop w:val="0"/>
      <w:marBottom w:val="0"/>
      <w:divBdr>
        <w:top w:val="none" w:sz="0" w:space="0" w:color="auto"/>
        <w:left w:val="none" w:sz="0" w:space="0" w:color="auto"/>
        <w:bottom w:val="none" w:sz="0" w:space="0" w:color="auto"/>
        <w:right w:val="none" w:sz="0" w:space="0" w:color="auto"/>
      </w:divBdr>
      <w:divsChild>
        <w:div w:id="1168640402">
          <w:marLeft w:val="0"/>
          <w:marRight w:val="0"/>
          <w:marTop w:val="0"/>
          <w:marBottom w:val="480"/>
          <w:divBdr>
            <w:top w:val="none" w:sz="0" w:space="0" w:color="auto"/>
            <w:left w:val="none" w:sz="0" w:space="0" w:color="auto"/>
            <w:bottom w:val="none" w:sz="0" w:space="0" w:color="auto"/>
            <w:right w:val="none" w:sz="0" w:space="0" w:color="auto"/>
          </w:divBdr>
          <w:divsChild>
            <w:div w:id="927620969">
              <w:marLeft w:val="0"/>
              <w:marRight w:val="0"/>
              <w:marTop w:val="0"/>
              <w:marBottom w:val="72"/>
              <w:divBdr>
                <w:top w:val="none" w:sz="0" w:space="0" w:color="auto"/>
                <w:left w:val="none" w:sz="0" w:space="0" w:color="auto"/>
                <w:bottom w:val="none" w:sz="0" w:space="0" w:color="auto"/>
                <w:right w:val="none" w:sz="0" w:space="0" w:color="auto"/>
              </w:divBdr>
            </w:div>
            <w:div w:id="1543128608">
              <w:marLeft w:val="0"/>
              <w:marRight w:val="0"/>
              <w:marTop w:val="0"/>
              <w:marBottom w:val="72"/>
              <w:divBdr>
                <w:top w:val="none" w:sz="0" w:space="0" w:color="auto"/>
                <w:left w:val="none" w:sz="0" w:space="0" w:color="auto"/>
                <w:bottom w:val="none" w:sz="0" w:space="0" w:color="auto"/>
                <w:right w:val="none" w:sz="0" w:space="0" w:color="auto"/>
              </w:divBdr>
            </w:div>
            <w:div w:id="1586568282">
              <w:marLeft w:val="0"/>
              <w:marRight w:val="0"/>
              <w:marTop w:val="0"/>
              <w:marBottom w:val="72"/>
              <w:divBdr>
                <w:top w:val="none" w:sz="0" w:space="0" w:color="auto"/>
                <w:left w:val="none" w:sz="0" w:space="0" w:color="auto"/>
                <w:bottom w:val="none" w:sz="0" w:space="0" w:color="auto"/>
                <w:right w:val="none" w:sz="0" w:space="0" w:color="auto"/>
              </w:divBdr>
            </w:div>
          </w:divsChild>
        </w:div>
        <w:div w:id="63807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links.govdelivery.com/track?type=click&amp;enid=ZWFzPTEmbWFpbGluZ2lkPTIwMTgwMzIzLjg3NDE3NDQxJm1lc3NhZ2VpZD1NREItUFJELUJVTC0yMDE4MDMyMy44NzQxNzQ0MSZkYXRhYmFzZWlkPTEwMDEmc2VyaWFsPTE3NTAzMjUzJmVtYWlsaWQ9bGVpZ2guZ2xhemVyQHRoeXNzZW5rcnVwcC5jb20mdXNlcmlkPWxlaWdoLmdsYXplckB0aHlzc2Vua3J1cHAuY29tJmZsPSZleHRyYT1NdWx0aXZhcmlhdGVJZD0mJiY=&amp;&amp;&amp;101&amp;&amp;&amp;https://content.govdelivery.com/accounts/USDHSCBP/bulletins/1e43d40?reqfrom=share" TargetMode="External"/><Relationship Id="rId4" Type="http://schemas.openxmlformats.org/officeDocument/2006/relationships/hyperlink" Target="http://links.govdelivery.com:80/track?type=click&amp;enid=ZWFzPTEmbWFpbGluZ2lkPTIwMTgwMzIzLjg3NDE3NDQxJm1lc3NhZ2VpZD1NREItUFJELUJVTC0yMDE4MDMyMy44NzQxNzQ0MSZkYXRhYmFzZWlkPTEwMDEmc2VyaWFsPTE3NTAzMjUzJmVtYWlsaWQ9bGVpZ2guZ2xhemVyQHRoeXNzZW5rcnVwcC5jb20mdXNlcmlkPWxlaWdoLmdsYXplckB0aHlzc2Vua3J1cHAuY29tJmZsPSZleHRyYT1NdWx0aXZhcmlhdGVJZD0mJiY=&amp;&amp;&amp;100&amp;&amp;&amp;http://apps.cbp.gov/csms/csms.asp?srch_argv=18-000240&amp;srchtype=all&amp;op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Victoria</dc:creator>
  <cp:keywords/>
  <dc:description/>
  <cp:lastModifiedBy>Haynes, Victoria</cp:lastModifiedBy>
  <cp:revision>1</cp:revision>
  <dcterms:created xsi:type="dcterms:W3CDTF">2018-03-27T21:04:00Z</dcterms:created>
  <dcterms:modified xsi:type="dcterms:W3CDTF">2018-03-27T22:39:00Z</dcterms:modified>
</cp:coreProperties>
</file>