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D7FBB">
            <w:r>
              <w:t>EMD Millipore</w:t>
            </w:r>
          </w:p>
        </w:tc>
      </w:tr>
      <w:tr w:rsidR="00B418E6" w:rsidTr="00534443">
        <w:tc>
          <w:tcPr>
            <w:tcW w:w="2448" w:type="dxa"/>
          </w:tcPr>
          <w:p w:rsidR="00B418E6" w:rsidRDefault="00B418E6">
            <w:r>
              <w:t>Job Title</w:t>
            </w:r>
          </w:p>
        </w:tc>
        <w:tc>
          <w:tcPr>
            <w:tcW w:w="6408" w:type="dxa"/>
          </w:tcPr>
          <w:p w:rsidR="00B418E6" w:rsidRDefault="008D7FBB">
            <w:r>
              <w:t>Head of Trade Compliance, North America</w:t>
            </w:r>
          </w:p>
        </w:tc>
      </w:tr>
      <w:tr w:rsidR="00B418E6" w:rsidTr="00534443">
        <w:tc>
          <w:tcPr>
            <w:tcW w:w="2448" w:type="dxa"/>
          </w:tcPr>
          <w:p w:rsidR="00B418E6" w:rsidRDefault="00B418E6">
            <w:r>
              <w:t>Location</w:t>
            </w:r>
          </w:p>
        </w:tc>
        <w:tc>
          <w:tcPr>
            <w:tcW w:w="6408" w:type="dxa"/>
          </w:tcPr>
          <w:p w:rsidR="00B418E6" w:rsidRDefault="008D7FBB">
            <w:r>
              <w:t>Billerica, MA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8D7FBB">
            <w:r>
              <w:t>Yes, within the US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D7FBB" w:rsidRDefault="008D7FBB" w:rsidP="008D7FBB">
      <w:pPr>
        <w:rPr>
          <w:rFonts w:ascii="Trebuchet MS" w:hAnsi="Trebuchet MS"/>
          <w:sz w:val="18"/>
          <w:szCs w:val="18"/>
        </w:rPr>
      </w:pPr>
      <w:r>
        <w:rPr>
          <w:rFonts w:ascii="Trebuchet MS" w:hAnsi="Trebuchet MS"/>
          <w:sz w:val="18"/>
          <w:szCs w:val="18"/>
        </w:rPr>
        <w:t>EMD Millipore has an opening for Head of Trade Compliance, North America.  This position is located in Billerica, MA.</w:t>
      </w:r>
    </w:p>
    <w:p w:rsidR="008D7FBB" w:rsidRDefault="008D7FBB" w:rsidP="008D7FBB">
      <w:pPr>
        <w:rPr>
          <w:rFonts w:ascii="Trebuchet MS" w:hAnsi="Trebuchet MS"/>
          <w:sz w:val="18"/>
          <w:szCs w:val="18"/>
        </w:rPr>
      </w:pPr>
      <w:r>
        <w:rPr>
          <w:rFonts w:ascii="Trebuchet MS" w:hAnsi="Trebuchet MS"/>
          <w:sz w:val="18"/>
          <w:szCs w:val="18"/>
        </w:rPr>
        <w:t> </w:t>
      </w:r>
    </w:p>
    <w:p w:rsidR="008D7FBB" w:rsidRDefault="008D7FBB" w:rsidP="008D7FBB">
      <w:pPr>
        <w:rPr>
          <w:rFonts w:ascii="Trebuchet MS" w:hAnsi="Trebuchet MS"/>
          <w:sz w:val="18"/>
          <w:szCs w:val="18"/>
        </w:rPr>
      </w:pPr>
      <w:r>
        <w:rPr>
          <w:rFonts w:ascii="Trebuchet MS" w:hAnsi="Trebuchet MS"/>
          <w:sz w:val="18"/>
          <w:szCs w:val="18"/>
        </w:rPr>
        <w:t>The Head of Trade Compliance will lead the trade compliance unit for EMD Millipore Corporation, the Chemicals subsidiary of Merck KGaA, Germany. The individual will be accountable for multiple programs, processes, policies and procedures to ensure compliance with local and international regulations in the foreign trade area in particular customs affairs, import and export control with reference to various control regimes and governmental bodies.</w:t>
      </w:r>
    </w:p>
    <w:p w:rsidR="008D7FBB" w:rsidRDefault="008D7FBB" w:rsidP="008D7FBB">
      <w:pPr>
        <w:rPr>
          <w:rFonts w:ascii="Trebuchet MS" w:hAnsi="Trebuchet MS"/>
          <w:sz w:val="18"/>
          <w:szCs w:val="18"/>
        </w:rPr>
      </w:pPr>
      <w:r>
        <w:rPr>
          <w:rStyle w:val="Strong"/>
          <w:rFonts w:ascii="Trebuchet MS" w:hAnsi="Trebuchet MS"/>
          <w:sz w:val="18"/>
          <w:szCs w:val="18"/>
        </w:rPr>
        <w:t>DUTIES &amp; RESPONSIBILITIES:</w:t>
      </w:r>
    </w:p>
    <w:p w:rsidR="008D7FBB" w:rsidRDefault="008D7FBB" w:rsidP="008D7FBB">
      <w:pPr>
        <w:rPr>
          <w:rFonts w:ascii="Trebuchet MS" w:hAnsi="Trebuchet MS"/>
          <w:sz w:val="18"/>
          <w:szCs w:val="18"/>
        </w:rPr>
      </w:pPr>
      <w:r>
        <w:rPr>
          <w:rFonts w:ascii="Trebuchet MS" w:hAnsi="Trebuchet MS"/>
          <w:sz w:val="18"/>
          <w:szCs w:val="18"/>
        </w:rPr>
        <w:t>Direct, coordinate and manage all activities related to the companies Trade Compliance Activity. Specific duties include</w:t>
      </w:r>
      <w:r>
        <w:rPr>
          <w:rStyle w:val="Strong"/>
          <w:rFonts w:ascii="Trebuchet MS" w:hAnsi="Trebuchet MS"/>
          <w:sz w:val="18"/>
          <w:szCs w:val="18"/>
        </w:rPr>
        <w:t>:</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Enhance and maintain Local Trade Compliance policies in accordance with the global guidelines and standards.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Enhance and maintain documented Export Management</w:t>
      </w:r>
      <w:r>
        <w:rPr>
          <w:rStyle w:val="Strong"/>
          <w:rFonts w:ascii="Trebuchet MS" w:hAnsi="Trebuchet MS"/>
          <w:sz w:val="18"/>
          <w:szCs w:val="18"/>
        </w:rPr>
        <w:t xml:space="preserve">.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Establish determination of export licensing requirements, export commodity code classification (ECCN) and deemed export compliance.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Ensure correct customs classification (HTS), site use of duty free programs, broker management, Foreign Trade Zone.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Ensure the integrity and effectiveness of the trade control infrastructure covering operational processes, export licensing/classification, trade documentation, and trade identification/disclosures for both export and customs.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Identify potential areas of compliance vulnerability and risk through periodic reviews and/or other risk evaluation techniques to monitor compliance; identify problem areas; develop/implement corrective action plans for resolution of problematic issues in coordination with local leadership, institute standard desk procedures, and provide guidance on how to avoid similar situations in the future.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Provide reports as required both monthly, quarterly, and as requested, to keep senior management informed of the operation and progress of compliance efforts.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Interpret trade and compliance policy and provide regulatory guidance relative to export compliance procedures and documentation,  business processes, small business subcontracting, licensing and administration, denied party, technology transfers, deemed exports, anti-boycott reporting, record keeping, audits and training based on personal expertise; has the authority to invite subject matter experts to support issue resolution if necessary. </w:t>
      </w:r>
    </w:p>
    <w:p w:rsidR="008D7FBB" w:rsidRDefault="008D7FBB" w:rsidP="008D7FBB">
      <w:pPr>
        <w:numPr>
          <w:ilvl w:val="0"/>
          <w:numId w:val="1"/>
        </w:numPr>
        <w:rPr>
          <w:rFonts w:ascii="Trebuchet MS" w:hAnsi="Trebuchet MS"/>
          <w:sz w:val="18"/>
          <w:szCs w:val="18"/>
        </w:rPr>
      </w:pPr>
      <w:r>
        <w:rPr>
          <w:rFonts w:ascii="Trebuchet MS" w:hAnsi="Trebuchet MS"/>
          <w:sz w:val="18"/>
          <w:szCs w:val="18"/>
        </w:rPr>
        <w:lastRenderedPageBreak/>
        <w:t xml:space="preserve">Attend all training, conferences and readings to stay current on all trade compliance and ethical governance advances/changes on a regular basis to ensure knowledge of the aspects, which contribute to full compliance.  Monitor regulatory changes and assess impact to the company.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Revise compliance policies and practices in accordance with changing legal framework and business models.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Assist in investigations of all export, customs, import and other regulatory trade compliance investigations.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Facilitate training of local &amp; regional personnel to desk level procedures for import and export.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Maintain an import/export control infrastructure consisting of operational processes, export licensing, export/import classifications; all deemed export compliance, export documentation, export/import violation and disclosure processes.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Act as a primary liaison and develop positive relationships between the company and the appropriate government officials and agencies to support our trade compliance programs.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Maintain compliance systems to meet the requirements of multiple US government regulatory agencies, including but not limited to Census, DEA, DOT, ATTB, FDA, EPA, and USDA, in collaboration with EMD Millipore regulatory personnel, as appropriate. </w:t>
      </w:r>
    </w:p>
    <w:p w:rsidR="008D7FBB" w:rsidRDefault="008D7FBB" w:rsidP="008D7FBB">
      <w:pPr>
        <w:numPr>
          <w:ilvl w:val="0"/>
          <w:numId w:val="1"/>
        </w:numPr>
        <w:rPr>
          <w:rFonts w:ascii="Trebuchet MS" w:hAnsi="Trebuchet MS"/>
          <w:sz w:val="18"/>
          <w:szCs w:val="18"/>
        </w:rPr>
      </w:pPr>
      <w:r>
        <w:rPr>
          <w:rFonts w:ascii="Trebuchet MS" w:hAnsi="Trebuchet MS"/>
          <w:sz w:val="18"/>
          <w:szCs w:val="18"/>
        </w:rPr>
        <w:t xml:space="preserve">Build strong relationships with internal business partners and group functions to find compliant solutions to business problems and challenges. </w:t>
      </w:r>
    </w:p>
    <w:p w:rsidR="008D7FBB" w:rsidRDefault="008D7FBB" w:rsidP="008D7FBB">
      <w:pPr>
        <w:rPr>
          <w:rFonts w:ascii="Trebuchet MS" w:hAnsi="Trebuchet MS"/>
          <w:sz w:val="18"/>
          <w:szCs w:val="18"/>
        </w:rPr>
      </w:pPr>
      <w:r>
        <w:rPr>
          <w:rFonts w:ascii="Trebuchet MS" w:hAnsi="Trebuchet MS"/>
          <w:sz w:val="18"/>
          <w:szCs w:val="18"/>
        </w:rPr>
        <w:t> </w:t>
      </w:r>
    </w:p>
    <w:p w:rsidR="008D7FBB" w:rsidRDefault="008D7FBB" w:rsidP="008D7FBB">
      <w:pPr>
        <w:rPr>
          <w:rFonts w:ascii="Trebuchet MS" w:hAnsi="Trebuchet MS"/>
          <w:sz w:val="18"/>
          <w:szCs w:val="18"/>
        </w:rPr>
      </w:pPr>
      <w:r>
        <w:rPr>
          <w:rStyle w:val="Strong"/>
          <w:rFonts w:ascii="Trebuchet MS" w:hAnsi="Trebuchet MS"/>
          <w:sz w:val="18"/>
          <w:szCs w:val="18"/>
        </w:rPr>
        <w:t>ACCOUNTABILITY:</w:t>
      </w:r>
    </w:p>
    <w:p w:rsidR="008D7FBB" w:rsidRDefault="008D7FBB" w:rsidP="008D7FBB">
      <w:pPr>
        <w:numPr>
          <w:ilvl w:val="0"/>
          <w:numId w:val="2"/>
        </w:numPr>
        <w:rPr>
          <w:rFonts w:ascii="Trebuchet MS" w:hAnsi="Trebuchet MS"/>
          <w:sz w:val="18"/>
          <w:szCs w:val="18"/>
        </w:rPr>
      </w:pPr>
      <w:r>
        <w:rPr>
          <w:rFonts w:ascii="Trebuchet MS" w:hAnsi="Trebuchet MS"/>
          <w:sz w:val="18"/>
          <w:szCs w:val="18"/>
        </w:rPr>
        <w:t xml:space="preserve">Interacts with personnel at all levels across the organization, including communication with offshore subsidiary management, external resources and legal department. </w:t>
      </w:r>
    </w:p>
    <w:p w:rsidR="008D7FBB" w:rsidRDefault="008D7FBB" w:rsidP="008D7FBB">
      <w:pPr>
        <w:rPr>
          <w:rFonts w:ascii="Trebuchet MS" w:hAnsi="Trebuchet MS"/>
          <w:sz w:val="18"/>
          <w:szCs w:val="18"/>
        </w:rPr>
      </w:pPr>
      <w:r>
        <w:rPr>
          <w:rFonts w:ascii="Trebuchet MS" w:hAnsi="Trebuchet MS"/>
          <w:sz w:val="18"/>
          <w:szCs w:val="18"/>
        </w:rPr>
        <w:t> </w:t>
      </w:r>
    </w:p>
    <w:p w:rsidR="008D7FBB" w:rsidRDefault="008D7FBB" w:rsidP="008D7FBB">
      <w:pPr>
        <w:rPr>
          <w:rFonts w:ascii="Trebuchet MS" w:hAnsi="Trebuchet MS"/>
          <w:sz w:val="18"/>
          <w:szCs w:val="18"/>
        </w:rPr>
      </w:pPr>
      <w:r>
        <w:rPr>
          <w:rStyle w:val="Strong"/>
          <w:rFonts w:ascii="Trebuchet MS" w:hAnsi="Trebuchet MS"/>
          <w:sz w:val="18"/>
          <w:szCs w:val="18"/>
        </w:rPr>
        <w:t xml:space="preserve">Experience: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5+ year's applicable experience in an international business environment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Bachelor's degree required, MBA or advanced degree preferred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Ability to make independent export-import related judgments and decisions.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Ability to embrace change and respond quickly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Demonstrated ability to build strong relationships and influence others across globally matrixed organization.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Demonstrated ability to be a self-starter and self-managed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Strong interpersonal skills, and good verbal, written and presentation skills are required.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Positive attitude and strong work ethic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Experience required in practical interpretation of International Trade Compliance </w:t>
      </w:r>
    </w:p>
    <w:p w:rsidR="008D7FBB" w:rsidRDefault="008D7FBB" w:rsidP="008D7FBB">
      <w:pPr>
        <w:numPr>
          <w:ilvl w:val="0"/>
          <w:numId w:val="3"/>
        </w:numPr>
        <w:rPr>
          <w:rFonts w:ascii="Trebuchet MS" w:hAnsi="Trebuchet MS"/>
          <w:sz w:val="18"/>
          <w:szCs w:val="18"/>
        </w:rPr>
      </w:pPr>
      <w:r>
        <w:rPr>
          <w:rFonts w:ascii="Trebuchet MS" w:hAnsi="Trebuchet MS"/>
          <w:sz w:val="18"/>
          <w:szCs w:val="18"/>
        </w:rPr>
        <w:t xml:space="preserve">Must be proficient with computer applications and data analysis programs (SAP, SAP GTS).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8D7FBB">
      <w:pPr>
        <w:rPr>
          <w:b/>
          <w:sz w:val="32"/>
          <w:szCs w:val="32"/>
          <w:u w:val="single"/>
        </w:rPr>
      </w:pPr>
      <w:hyperlink r:id="rId6" w:history="1">
        <w:r w:rsidRPr="00F0117B">
          <w:rPr>
            <w:rStyle w:val="Hyperlink"/>
            <w:b/>
            <w:sz w:val="32"/>
            <w:szCs w:val="32"/>
          </w:rPr>
          <w:t>www.emdgroup.com/emd/careers</w:t>
        </w:r>
      </w:hyperlink>
    </w:p>
    <w:p w:rsidR="008D7FBB" w:rsidRDefault="008D7FBB">
      <w:pPr>
        <w:rPr>
          <w:b/>
          <w:sz w:val="32"/>
          <w:szCs w:val="32"/>
          <w:u w:val="single"/>
        </w:rPr>
      </w:pPr>
    </w:p>
    <w:p w:rsidR="008D7FBB" w:rsidRPr="00D33F69" w:rsidRDefault="008D7FBB">
      <w:pPr>
        <w:rPr>
          <w:b/>
          <w:sz w:val="32"/>
          <w:szCs w:val="32"/>
          <w:u w:val="single"/>
        </w:rPr>
      </w:pPr>
      <w:r>
        <w:rPr>
          <w:b/>
          <w:sz w:val="32"/>
          <w:szCs w:val="32"/>
          <w:u w:val="single"/>
        </w:rPr>
        <w:t>Search for req # 34922</w:t>
      </w:r>
    </w:p>
    <w:sectPr w:rsidR="008D7FBB"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4BA"/>
    <w:multiLevelType w:val="multilevel"/>
    <w:tmpl w:val="9CC4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C2834"/>
    <w:multiLevelType w:val="multilevel"/>
    <w:tmpl w:val="2782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60B59"/>
    <w:multiLevelType w:val="multilevel"/>
    <w:tmpl w:val="577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65F"/>
    <w:rsid w:val="000B5F0C"/>
    <w:rsid w:val="00416446"/>
    <w:rsid w:val="00534443"/>
    <w:rsid w:val="007E0737"/>
    <w:rsid w:val="008D7FBB"/>
    <w:rsid w:val="0095166A"/>
    <w:rsid w:val="009E5813"/>
    <w:rsid w:val="00AB165F"/>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A1D365-B589-4368-8B64-ED52F893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8D7FBB"/>
    <w:rPr>
      <w:b/>
      <w:bCs/>
    </w:rPr>
  </w:style>
  <w:style w:type="character" w:styleId="Hyperlink">
    <w:name w:val="Hyperlink"/>
    <w:rsid w:val="008D7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55978">
      <w:bodyDiv w:val="1"/>
      <w:marLeft w:val="0"/>
      <w:marRight w:val="0"/>
      <w:marTop w:val="0"/>
      <w:marBottom w:val="0"/>
      <w:divBdr>
        <w:top w:val="none" w:sz="0" w:space="0" w:color="auto"/>
        <w:left w:val="none" w:sz="0" w:space="0" w:color="auto"/>
        <w:bottom w:val="none" w:sz="0" w:space="0" w:color="auto"/>
        <w:right w:val="none" w:sz="0" w:space="0" w:color="auto"/>
      </w:divBdr>
      <w:divsChild>
        <w:div w:id="51464178">
          <w:marLeft w:val="0"/>
          <w:marRight w:val="0"/>
          <w:marTop w:val="0"/>
          <w:marBottom w:val="0"/>
          <w:divBdr>
            <w:top w:val="none" w:sz="0" w:space="0" w:color="auto"/>
            <w:left w:val="none" w:sz="0" w:space="0" w:color="auto"/>
            <w:bottom w:val="none" w:sz="0" w:space="0" w:color="auto"/>
            <w:right w:val="none" w:sz="0" w:space="0" w:color="auto"/>
          </w:divBdr>
          <w:divsChild>
            <w:div w:id="834732105">
              <w:marLeft w:val="0"/>
              <w:marRight w:val="0"/>
              <w:marTop w:val="0"/>
              <w:marBottom w:val="0"/>
              <w:divBdr>
                <w:top w:val="none" w:sz="0" w:space="0" w:color="auto"/>
                <w:left w:val="none" w:sz="0" w:space="0" w:color="auto"/>
                <w:bottom w:val="none" w:sz="0" w:space="0" w:color="auto"/>
                <w:right w:val="none" w:sz="0" w:space="0" w:color="auto"/>
              </w:divBdr>
              <w:divsChild>
                <w:div w:id="1881168350">
                  <w:marLeft w:val="0"/>
                  <w:marRight w:val="0"/>
                  <w:marTop w:val="0"/>
                  <w:marBottom w:val="0"/>
                  <w:divBdr>
                    <w:top w:val="none" w:sz="0" w:space="0" w:color="auto"/>
                    <w:left w:val="none" w:sz="0" w:space="0" w:color="auto"/>
                    <w:bottom w:val="none" w:sz="0" w:space="0" w:color="auto"/>
                    <w:right w:val="none" w:sz="0" w:space="0" w:color="auto"/>
                  </w:divBdr>
                  <w:divsChild>
                    <w:div w:id="1417021587">
                      <w:marLeft w:val="0"/>
                      <w:marRight w:val="0"/>
                      <w:marTop w:val="0"/>
                      <w:marBottom w:val="0"/>
                      <w:divBdr>
                        <w:top w:val="none" w:sz="0" w:space="0" w:color="auto"/>
                        <w:left w:val="none" w:sz="0" w:space="0" w:color="auto"/>
                        <w:bottom w:val="none" w:sz="0" w:space="0" w:color="auto"/>
                        <w:right w:val="none" w:sz="0" w:space="0" w:color="auto"/>
                      </w:divBdr>
                      <w:divsChild>
                        <w:div w:id="1846048682">
                          <w:marLeft w:val="0"/>
                          <w:marRight w:val="0"/>
                          <w:marTop w:val="0"/>
                          <w:marBottom w:val="0"/>
                          <w:divBdr>
                            <w:top w:val="none" w:sz="0" w:space="0" w:color="auto"/>
                            <w:left w:val="none" w:sz="0" w:space="0" w:color="auto"/>
                            <w:bottom w:val="none" w:sz="0" w:space="0" w:color="auto"/>
                            <w:right w:val="none" w:sz="0" w:space="0" w:color="auto"/>
                          </w:divBdr>
                          <w:divsChild>
                            <w:div w:id="1949312609">
                              <w:marLeft w:val="0"/>
                              <w:marRight w:val="0"/>
                              <w:marTop w:val="0"/>
                              <w:marBottom w:val="0"/>
                              <w:divBdr>
                                <w:top w:val="none" w:sz="0" w:space="0" w:color="auto"/>
                                <w:left w:val="none" w:sz="0" w:space="0" w:color="auto"/>
                                <w:bottom w:val="none" w:sz="0" w:space="0" w:color="auto"/>
                                <w:right w:val="none" w:sz="0" w:space="0" w:color="auto"/>
                              </w:divBdr>
                              <w:divsChild>
                                <w:div w:id="222834481">
                                  <w:marLeft w:val="195"/>
                                  <w:marRight w:val="150"/>
                                  <w:marTop w:val="0"/>
                                  <w:marBottom w:val="120"/>
                                  <w:divBdr>
                                    <w:top w:val="none" w:sz="0" w:space="0" w:color="auto"/>
                                    <w:left w:val="none" w:sz="0" w:space="0" w:color="auto"/>
                                    <w:bottom w:val="none" w:sz="0" w:space="0" w:color="auto"/>
                                    <w:right w:val="none" w:sz="0" w:space="0" w:color="auto"/>
                                  </w:divBdr>
                                  <w:divsChild>
                                    <w:div w:id="2062509707">
                                      <w:marLeft w:val="0"/>
                                      <w:marRight w:val="0"/>
                                      <w:marTop w:val="0"/>
                                      <w:marBottom w:val="0"/>
                                      <w:divBdr>
                                        <w:top w:val="none" w:sz="0" w:space="0" w:color="auto"/>
                                        <w:left w:val="none" w:sz="0" w:space="0" w:color="auto"/>
                                        <w:bottom w:val="none" w:sz="0" w:space="0" w:color="auto"/>
                                        <w:right w:val="none" w:sz="0" w:space="0" w:color="auto"/>
                                      </w:divBdr>
                                      <w:divsChild>
                                        <w:div w:id="88476439">
                                          <w:marLeft w:val="0"/>
                                          <w:marRight w:val="0"/>
                                          <w:marTop w:val="0"/>
                                          <w:marBottom w:val="0"/>
                                          <w:divBdr>
                                            <w:top w:val="none" w:sz="0" w:space="0" w:color="auto"/>
                                            <w:left w:val="none" w:sz="0" w:space="0" w:color="auto"/>
                                            <w:bottom w:val="none" w:sz="0" w:space="0" w:color="auto"/>
                                            <w:right w:val="none" w:sz="0" w:space="0" w:color="auto"/>
                                          </w:divBdr>
                                          <w:divsChild>
                                            <w:div w:id="2044986281">
                                              <w:marLeft w:val="0"/>
                                              <w:marRight w:val="0"/>
                                              <w:marTop w:val="0"/>
                                              <w:marBottom w:val="0"/>
                                              <w:divBdr>
                                                <w:top w:val="none" w:sz="0" w:space="0" w:color="auto"/>
                                                <w:left w:val="none" w:sz="0" w:space="0" w:color="auto"/>
                                                <w:bottom w:val="none" w:sz="0" w:space="0" w:color="auto"/>
                                                <w:right w:val="none" w:sz="0" w:space="0" w:color="auto"/>
                                              </w:divBdr>
                                              <w:divsChild>
                                                <w:div w:id="1400706716">
                                                  <w:marLeft w:val="0"/>
                                                  <w:marRight w:val="0"/>
                                                  <w:marTop w:val="0"/>
                                                  <w:marBottom w:val="0"/>
                                                  <w:divBdr>
                                                    <w:top w:val="none" w:sz="0" w:space="0" w:color="auto"/>
                                                    <w:left w:val="none" w:sz="0" w:space="0" w:color="auto"/>
                                                    <w:bottom w:val="none" w:sz="0" w:space="0" w:color="auto"/>
                                                    <w:right w:val="none" w:sz="0" w:space="0" w:color="auto"/>
                                                  </w:divBdr>
                                                  <w:divsChild>
                                                    <w:div w:id="228537366">
                                                      <w:marLeft w:val="0"/>
                                                      <w:marRight w:val="0"/>
                                                      <w:marTop w:val="0"/>
                                                      <w:marBottom w:val="0"/>
                                                      <w:divBdr>
                                                        <w:top w:val="none" w:sz="0" w:space="0" w:color="auto"/>
                                                        <w:left w:val="none" w:sz="0" w:space="0" w:color="auto"/>
                                                        <w:bottom w:val="none" w:sz="0" w:space="0" w:color="auto"/>
                                                        <w:right w:val="none" w:sz="0" w:space="0" w:color="auto"/>
                                                      </w:divBdr>
                                                      <w:divsChild>
                                                        <w:div w:id="1041133162">
                                                          <w:marLeft w:val="0"/>
                                                          <w:marRight w:val="0"/>
                                                          <w:marTop w:val="0"/>
                                                          <w:marBottom w:val="0"/>
                                                          <w:divBdr>
                                                            <w:top w:val="none" w:sz="0" w:space="0" w:color="auto"/>
                                                            <w:left w:val="none" w:sz="0" w:space="0" w:color="auto"/>
                                                            <w:bottom w:val="none" w:sz="0" w:space="0" w:color="auto"/>
                                                            <w:right w:val="none" w:sz="0" w:space="0" w:color="auto"/>
                                                          </w:divBdr>
                                                          <w:divsChild>
                                                            <w:div w:id="1636568070">
                                                              <w:marLeft w:val="0"/>
                                                              <w:marRight w:val="0"/>
                                                              <w:marTop w:val="0"/>
                                                              <w:marBottom w:val="60"/>
                                                              <w:divBdr>
                                                                <w:top w:val="single" w:sz="6" w:space="0" w:color="CCCCCC"/>
                                                                <w:left w:val="single" w:sz="6" w:space="0" w:color="CCCCCC"/>
                                                                <w:bottom w:val="single" w:sz="6" w:space="0" w:color="CCCCCC"/>
                                                                <w:right w:val="single" w:sz="6" w:space="0" w:color="CCCCCC"/>
                                                              </w:divBdr>
                                                              <w:divsChild>
                                                                <w:div w:id="1961647019">
                                                                  <w:marLeft w:val="0"/>
                                                                  <w:marRight w:val="0"/>
                                                                  <w:marTop w:val="0"/>
                                                                  <w:marBottom w:val="0"/>
                                                                  <w:divBdr>
                                                                    <w:top w:val="none" w:sz="0" w:space="0" w:color="auto"/>
                                                                    <w:left w:val="none" w:sz="0" w:space="0" w:color="auto"/>
                                                                    <w:bottom w:val="none" w:sz="0" w:space="0" w:color="auto"/>
                                                                    <w:right w:val="none" w:sz="0" w:space="0" w:color="auto"/>
                                                                  </w:divBdr>
                                                                  <w:divsChild>
                                                                    <w:div w:id="410615046">
                                                                      <w:marLeft w:val="0"/>
                                                                      <w:marRight w:val="0"/>
                                                                      <w:marTop w:val="0"/>
                                                                      <w:marBottom w:val="0"/>
                                                                      <w:divBdr>
                                                                        <w:top w:val="none" w:sz="0" w:space="0" w:color="auto"/>
                                                                        <w:left w:val="none" w:sz="0" w:space="0" w:color="auto"/>
                                                                        <w:bottom w:val="none" w:sz="0" w:space="0" w:color="auto"/>
                                                                        <w:right w:val="none" w:sz="0" w:space="0" w:color="auto"/>
                                                                      </w:divBdr>
                                                                      <w:divsChild>
                                                                        <w:div w:id="363943159">
                                                                          <w:marLeft w:val="0"/>
                                                                          <w:marRight w:val="0"/>
                                                                          <w:marTop w:val="0"/>
                                                                          <w:marBottom w:val="0"/>
                                                                          <w:divBdr>
                                                                            <w:top w:val="none" w:sz="0" w:space="0" w:color="auto"/>
                                                                            <w:left w:val="none" w:sz="0" w:space="0" w:color="auto"/>
                                                                            <w:bottom w:val="none" w:sz="0" w:space="0" w:color="auto"/>
                                                                            <w:right w:val="none" w:sz="0" w:space="0" w:color="auto"/>
                                                                          </w:divBdr>
                                                                          <w:divsChild>
                                                                            <w:div w:id="20286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group.com/emd/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(10)</Template>
  <TotalTime>0</TotalTime>
  <Pages>3</Pages>
  <Words>761</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5094</CharactersWithSpaces>
  <SharedDoc>false</SharedDoc>
  <HLinks>
    <vt:vector size="6" baseType="variant">
      <vt:variant>
        <vt:i4>7798846</vt:i4>
      </vt:variant>
      <vt:variant>
        <vt:i4>0</vt:i4>
      </vt:variant>
      <vt:variant>
        <vt:i4>0</vt:i4>
      </vt:variant>
      <vt:variant>
        <vt:i4>5</vt:i4>
      </vt:variant>
      <vt:variant>
        <vt:lpwstr>http://www.emdgroup.com/emd/careers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2</cp:revision>
  <dcterms:created xsi:type="dcterms:W3CDTF">2014-06-25T00:00:00Z</dcterms:created>
  <dcterms:modified xsi:type="dcterms:W3CDTF">2014-06-25T00:00:00Z</dcterms:modified>
</cp:coreProperties>
</file>