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Pr="00B67247" w:rsidRDefault="00C824C2">
      <w:pPr>
        <w:rPr>
          <w:rFonts w:asciiTheme="minorHAnsi" w:hAnsiTheme="minorHAnsi"/>
          <w:sz w:val="22"/>
          <w:szCs w:val="22"/>
        </w:rPr>
      </w:pPr>
      <w:r>
        <w:rPr>
          <w:rFonts w:asciiTheme="minorHAnsi" w:hAnsiTheme="minorHAnsi"/>
          <w:noProof/>
          <w:sz w:val="22"/>
          <w:szCs w:val="22"/>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B67247" w:rsidRDefault="00416446">
      <w:pPr>
        <w:rPr>
          <w:rFonts w:asciiTheme="minorHAnsi" w:hAnsiTheme="minorHAnsi"/>
          <w:b/>
          <w:sz w:val="22"/>
          <w:szCs w:val="22"/>
        </w:rPr>
      </w:pPr>
    </w:p>
    <w:p w:rsidR="00416446" w:rsidRPr="00B67247" w:rsidRDefault="00416446" w:rsidP="000B5F0C">
      <w:pPr>
        <w:jc w:val="center"/>
        <w:outlineLvl w:val="0"/>
        <w:rPr>
          <w:rFonts w:asciiTheme="minorHAnsi" w:hAnsiTheme="minorHAnsi"/>
          <w:b/>
          <w:sz w:val="22"/>
          <w:szCs w:val="22"/>
        </w:rPr>
      </w:pPr>
      <w:r w:rsidRPr="00B67247">
        <w:rPr>
          <w:rFonts w:asciiTheme="minorHAnsi" w:hAnsiTheme="minorHAnsi"/>
          <w:b/>
          <w:sz w:val="22"/>
          <w:szCs w:val="22"/>
        </w:rPr>
        <w:t>Job Opportunity</w:t>
      </w:r>
    </w:p>
    <w:p w:rsidR="00416446" w:rsidRPr="00B67247" w:rsidRDefault="00416446">
      <w:pPr>
        <w:rPr>
          <w:rFonts w:asciiTheme="minorHAnsi" w:hAnsiTheme="minorHAnsi"/>
          <w:sz w:val="22"/>
          <w:szCs w:val="22"/>
        </w:rPr>
      </w:pPr>
    </w:p>
    <w:p w:rsidR="00416446" w:rsidRPr="00B67247" w:rsidRDefault="00416446">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Company</w:t>
            </w:r>
          </w:p>
        </w:tc>
        <w:tc>
          <w:tcPr>
            <w:tcW w:w="6408" w:type="dxa"/>
          </w:tcPr>
          <w:p w:rsidR="00B418E6" w:rsidRPr="00B67247" w:rsidRDefault="00173EAA">
            <w:pPr>
              <w:rPr>
                <w:rFonts w:asciiTheme="minorHAnsi" w:hAnsiTheme="minorHAnsi"/>
                <w:sz w:val="22"/>
                <w:szCs w:val="22"/>
              </w:rPr>
            </w:pPr>
            <w:r w:rsidRPr="00B67247">
              <w:rPr>
                <w:rFonts w:asciiTheme="minorHAnsi" w:hAnsiTheme="minorHAnsi"/>
                <w:sz w:val="22"/>
                <w:szCs w:val="22"/>
              </w:rPr>
              <w:t>Sandler &amp; Travis Trade Advisor Services, Inc.</w:t>
            </w:r>
          </w:p>
        </w:tc>
      </w:tr>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Job Title</w:t>
            </w:r>
          </w:p>
        </w:tc>
        <w:tc>
          <w:tcPr>
            <w:tcW w:w="6408" w:type="dxa"/>
          </w:tcPr>
          <w:p w:rsidR="00B418E6" w:rsidRPr="00B67247" w:rsidRDefault="00173EAA">
            <w:pPr>
              <w:rPr>
                <w:rFonts w:asciiTheme="minorHAnsi" w:hAnsiTheme="minorHAnsi"/>
                <w:sz w:val="22"/>
                <w:szCs w:val="22"/>
              </w:rPr>
            </w:pPr>
            <w:r w:rsidRPr="00B67247">
              <w:rPr>
                <w:rFonts w:asciiTheme="minorHAnsi" w:hAnsiTheme="minorHAnsi"/>
                <w:sz w:val="22"/>
                <w:szCs w:val="22"/>
              </w:rPr>
              <w:t>Technical Advisor, Classification</w:t>
            </w:r>
          </w:p>
        </w:tc>
      </w:tr>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Location</w:t>
            </w:r>
          </w:p>
        </w:tc>
        <w:tc>
          <w:tcPr>
            <w:tcW w:w="6408" w:type="dxa"/>
          </w:tcPr>
          <w:p w:rsidR="00B418E6" w:rsidRPr="00B67247" w:rsidRDefault="00E37356">
            <w:pPr>
              <w:rPr>
                <w:rFonts w:asciiTheme="minorHAnsi" w:hAnsiTheme="minorHAnsi"/>
                <w:sz w:val="22"/>
                <w:szCs w:val="22"/>
              </w:rPr>
            </w:pPr>
            <w:r w:rsidRPr="00B67247">
              <w:rPr>
                <w:rFonts w:asciiTheme="minorHAnsi" w:hAnsiTheme="minorHAnsi"/>
                <w:sz w:val="22"/>
                <w:szCs w:val="22"/>
              </w:rPr>
              <w:t>Farmington Hills, MI</w:t>
            </w:r>
          </w:p>
        </w:tc>
      </w:tr>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Salary Range</w:t>
            </w:r>
          </w:p>
        </w:tc>
        <w:tc>
          <w:tcPr>
            <w:tcW w:w="6408" w:type="dxa"/>
          </w:tcPr>
          <w:p w:rsidR="00B418E6" w:rsidRPr="00B67247" w:rsidRDefault="00E37356" w:rsidP="00E37356">
            <w:pPr>
              <w:rPr>
                <w:rFonts w:asciiTheme="minorHAnsi" w:hAnsiTheme="minorHAnsi"/>
                <w:sz w:val="22"/>
                <w:szCs w:val="22"/>
              </w:rPr>
            </w:pPr>
            <w:r w:rsidRPr="00B67247">
              <w:rPr>
                <w:rFonts w:asciiTheme="minorHAnsi" w:hAnsiTheme="minorHAnsi"/>
                <w:sz w:val="22"/>
                <w:szCs w:val="22"/>
              </w:rPr>
              <w:t>Competitive wages; dependent on skillset and experience</w:t>
            </w:r>
          </w:p>
        </w:tc>
      </w:tr>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Relocation Assistance</w:t>
            </w:r>
          </w:p>
        </w:tc>
        <w:tc>
          <w:tcPr>
            <w:tcW w:w="6408" w:type="dxa"/>
          </w:tcPr>
          <w:p w:rsidR="00B418E6" w:rsidRPr="00B67247" w:rsidRDefault="00E37356">
            <w:pPr>
              <w:rPr>
                <w:rFonts w:asciiTheme="minorHAnsi" w:hAnsiTheme="minorHAnsi"/>
                <w:sz w:val="22"/>
                <w:szCs w:val="22"/>
              </w:rPr>
            </w:pPr>
            <w:r w:rsidRPr="00B67247">
              <w:rPr>
                <w:rFonts w:asciiTheme="minorHAnsi" w:hAnsiTheme="minorHAnsi"/>
                <w:sz w:val="22"/>
                <w:szCs w:val="22"/>
              </w:rPr>
              <w:t>Yes</w:t>
            </w:r>
          </w:p>
        </w:tc>
      </w:tr>
    </w:tbl>
    <w:p w:rsidR="00D33F69" w:rsidRPr="00B67247" w:rsidRDefault="00D33F69">
      <w:pPr>
        <w:rPr>
          <w:rFonts w:asciiTheme="minorHAnsi" w:hAnsiTheme="minorHAnsi"/>
          <w:sz w:val="22"/>
          <w:szCs w:val="22"/>
        </w:rPr>
      </w:pPr>
    </w:p>
    <w:p w:rsidR="007C6B45" w:rsidRDefault="007C6B45" w:rsidP="007C6B45">
      <w:pPr>
        <w:autoSpaceDE w:val="0"/>
        <w:autoSpaceDN w:val="0"/>
        <w:jc w:val="center"/>
        <w:rPr>
          <w:rFonts w:asciiTheme="minorHAnsi" w:hAnsiTheme="minorHAnsi" w:cs="Arial"/>
          <w:b/>
          <w:i/>
          <w:iCs/>
          <w:lang w:eastAsia="de-DE"/>
        </w:rPr>
      </w:pPr>
    </w:p>
    <w:p w:rsidR="009B3DEB" w:rsidRPr="002B79AD" w:rsidRDefault="007C6B45" w:rsidP="004815C6">
      <w:pPr>
        <w:autoSpaceDE w:val="0"/>
        <w:autoSpaceDN w:val="0"/>
        <w:jc w:val="center"/>
        <w:rPr>
          <w:rFonts w:asciiTheme="minorHAnsi" w:hAnsiTheme="minorHAnsi" w:cs="Arial"/>
          <w:b/>
          <w:i/>
          <w:iCs/>
          <w:lang w:eastAsia="de-DE"/>
        </w:rPr>
      </w:pPr>
      <w:r>
        <w:rPr>
          <w:rFonts w:asciiTheme="minorHAnsi" w:hAnsiTheme="minorHAnsi" w:cs="Arial"/>
          <w:b/>
          <w:i/>
          <w:iCs/>
          <w:lang w:eastAsia="de-DE"/>
        </w:rPr>
        <w:t xml:space="preserve">Grow your career at </w:t>
      </w:r>
      <w:r w:rsidR="009B3DEB" w:rsidRPr="002B79AD">
        <w:rPr>
          <w:rFonts w:asciiTheme="minorHAnsi" w:hAnsiTheme="minorHAnsi" w:cs="Arial"/>
          <w:b/>
          <w:i/>
          <w:iCs/>
          <w:lang w:eastAsia="de-DE"/>
        </w:rPr>
        <w:t>Sandler &amp; Travis Trade Advisory Services, Inc. (STTAS)</w:t>
      </w:r>
      <w:r>
        <w:rPr>
          <w:rFonts w:asciiTheme="minorHAnsi" w:hAnsiTheme="minorHAnsi" w:cs="Arial"/>
          <w:b/>
          <w:i/>
          <w:iCs/>
          <w:lang w:eastAsia="de-DE"/>
        </w:rPr>
        <w:t xml:space="preserve">, the world’s </w:t>
      </w:r>
      <w:r w:rsidR="0088762E">
        <w:rPr>
          <w:rFonts w:asciiTheme="minorHAnsi" w:hAnsiTheme="minorHAnsi" w:cs="Arial"/>
          <w:b/>
          <w:i/>
          <w:iCs/>
          <w:lang w:eastAsia="de-DE"/>
        </w:rPr>
        <w:t xml:space="preserve">premier </w:t>
      </w:r>
      <w:r>
        <w:rPr>
          <w:rFonts w:asciiTheme="minorHAnsi" w:hAnsiTheme="minorHAnsi" w:cs="Arial"/>
          <w:b/>
          <w:i/>
          <w:iCs/>
          <w:lang w:eastAsia="de-DE"/>
        </w:rPr>
        <w:t xml:space="preserve">global trade compliance management </w:t>
      </w:r>
      <w:r w:rsidR="0065100E">
        <w:rPr>
          <w:rFonts w:asciiTheme="minorHAnsi" w:hAnsiTheme="minorHAnsi" w:cs="Arial"/>
          <w:b/>
          <w:i/>
          <w:iCs/>
          <w:lang w:eastAsia="de-DE"/>
        </w:rPr>
        <w:t>company</w:t>
      </w:r>
      <w:r>
        <w:rPr>
          <w:rFonts w:asciiTheme="minorHAnsi" w:hAnsiTheme="minorHAnsi" w:cs="Arial"/>
          <w:b/>
          <w:i/>
          <w:iCs/>
          <w:lang w:eastAsia="de-DE"/>
        </w:rPr>
        <w:t>.</w:t>
      </w:r>
    </w:p>
    <w:p w:rsidR="009B3DEB" w:rsidRDefault="009B3DEB" w:rsidP="00B67247">
      <w:pPr>
        <w:autoSpaceDE w:val="0"/>
        <w:autoSpaceDN w:val="0"/>
        <w:jc w:val="both"/>
        <w:rPr>
          <w:rFonts w:asciiTheme="minorHAnsi" w:hAnsiTheme="minorHAnsi" w:cs="Arial"/>
          <w:i/>
          <w:iCs/>
          <w:sz w:val="22"/>
          <w:szCs w:val="22"/>
          <w:lang w:eastAsia="de-DE"/>
        </w:rPr>
      </w:pPr>
    </w:p>
    <w:p w:rsidR="00EE1181" w:rsidRPr="002A30E9" w:rsidRDefault="00EE1181" w:rsidP="008E0274">
      <w:pPr>
        <w:rPr>
          <w:rFonts w:asciiTheme="minorHAnsi" w:hAnsiTheme="minorHAnsi" w:cs="Arial"/>
          <w:b/>
          <w:iCs/>
          <w:sz w:val="22"/>
          <w:szCs w:val="22"/>
          <w:u w:val="single"/>
        </w:rPr>
      </w:pPr>
      <w:r w:rsidRPr="002A30E9">
        <w:rPr>
          <w:rFonts w:asciiTheme="minorHAnsi" w:hAnsiTheme="minorHAnsi" w:cs="Arial"/>
          <w:b/>
          <w:iCs/>
          <w:sz w:val="22"/>
          <w:szCs w:val="22"/>
          <w:u w:val="single"/>
        </w:rPr>
        <w:t>Company Overview</w:t>
      </w:r>
      <w:r w:rsidR="002A30E9">
        <w:rPr>
          <w:rFonts w:asciiTheme="minorHAnsi" w:hAnsiTheme="minorHAnsi" w:cs="Arial"/>
          <w:b/>
          <w:iCs/>
          <w:sz w:val="22"/>
          <w:szCs w:val="22"/>
          <w:u w:val="single"/>
        </w:rPr>
        <w:br/>
      </w:r>
    </w:p>
    <w:p w:rsidR="008E0274" w:rsidRPr="008E0274" w:rsidRDefault="002148F8" w:rsidP="008E0274">
      <w:pPr>
        <w:rPr>
          <w:rFonts w:asciiTheme="minorHAnsi" w:hAnsiTheme="minorHAnsi" w:cs="Arial"/>
          <w:i/>
          <w:iCs/>
          <w:sz w:val="22"/>
          <w:szCs w:val="22"/>
        </w:rPr>
      </w:pPr>
      <w:r>
        <w:rPr>
          <w:rFonts w:asciiTheme="minorHAnsi" w:hAnsiTheme="minorHAnsi" w:cs="Arial"/>
          <w:i/>
          <w:iCs/>
          <w:sz w:val="22"/>
          <w:szCs w:val="22"/>
        </w:rPr>
        <w:t xml:space="preserve">At STTAS, our business is global trade. We </w:t>
      </w:r>
      <w:r w:rsidR="008E0274" w:rsidRPr="008E0274">
        <w:rPr>
          <w:rFonts w:asciiTheme="minorHAnsi" w:hAnsiTheme="minorHAnsi" w:cs="Arial"/>
          <w:i/>
          <w:iCs/>
          <w:sz w:val="22"/>
          <w:szCs w:val="22"/>
        </w:rPr>
        <w:t>offer a full</w:t>
      </w:r>
      <w:bookmarkStart w:id="0" w:name="_GoBack"/>
      <w:bookmarkEnd w:id="0"/>
      <w:r w:rsidR="008E0274" w:rsidRPr="008E0274">
        <w:rPr>
          <w:rFonts w:asciiTheme="minorHAnsi" w:hAnsiTheme="minorHAnsi" w:cs="Arial"/>
          <w:i/>
          <w:iCs/>
          <w:sz w:val="22"/>
          <w:szCs w:val="22"/>
        </w:rPr>
        <w:t xml:space="preserve"> range of global trade </w:t>
      </w:r>
      <w:r w:rsidR="008E0274">
        <w:rPr>
          <w:rFonts w:asciiTheme="minorHAnsi" w:hAnsiTheme="minorHAnsi" w:cs="Arial"/>
          <w:i/>
          <w:iCs/>
          <w:sz w:val="22"/>
          <w:szCs w:val="22"/>
        </w:rPr>
        <w:t xml:space="preserve">compliance </w:t>
      </w:r>
      <w:r w:rsidR="008E0274" w:rsidRPr="008E0274">
        <w:rPr>
          <w:rFonts w:asciiTheme="minorHAnsi" w:hAnsiTheme="minorHAnsi" w:cs="Arial"/>
          <w:i/>
          <w:iCs/>
          <w:sz w:val="22"/>
          <w:szCs w:val="22"/>
        </w:rPr>
        <w:t xml:space="preserve">managed services covering all areas related to the movement of goods between countries, regardless of the points of export or import. STTAS </w:t>
      </w:r>
      <w:r w:rsidR="000A2286">
        <w:rPr>
          <w:rFonts w:asciiTheme="minorHAnsi" w:hAnsiTheme="minorHAnsi" w:cs="Arial"/>
          <w:i/>
          <w:iCs/>
          <w:sz w:val="22"/>
          <w:szCs w:val="22"/>
        </w:rPr>
        <w:t>pioneered the global</w:t>
      </w:r>
      <w:r w:rsidR="0065100E">
        <w:rPr>
          <w:rFonts w:asciiTheme="minorHAnsi" w:hAnsiTheme="minorHAnsi" w:cs="Arial"/>
          <w:i/>
          <w:iCs/>
          <w:sz w:val="22"/>
          <w:szCs w:val="22"/>
        </w:rPr>
        <w:t xml:space="preserve"> trade</w:t>
      </w:r>
      <w:r w:rsidR="007C708A">
        <w:rPr>
          <w:rFonts w:asciiTheme="minorHAnsi" w:hAnsiTheme="minorHAnsi" w:cs="Arial"/>
          <w:i/>
          <w:iCs/>
          <w:sz w:val="22"/>
          <w:szCs w:val="22"/>
        </w:rPr>
        <w:t xml:space="preserve"> compliance management</w:t>
      </w:r>
      <w:r w:rsidR="0065100E">
        <w:rPr>
          <w:rFonts w:asciiTheme="minorHAnsi" w:hAnsiTheme="minorHAnsi" w:cs="Arial"/>
          <w:i/>
          <w:iCs/>
          <w:sz w:val="22"/>
          <w:szCs w:val="22"/>
        </w:rPr>
        <w:t xml:space="preserve"> field</w:t>
      </w:r>
      <w:r w:rsidR="000A2286">
        <w:rPr>
          <w:rFonts w:asciiTheme="minorHAnsi" w:hAnsiTheme="minorHAnsi" w:cs="Arial"/>
          <w:i/>
          <w:iCs/>
          <w:sz w:val="22"/>
          <w:szCs w:val="22"/>
        </w:rPr>
        <w:t xml:space="preserve">. Since </w:t>
      </w:r>
      <w:r w:rsidR="007C708A">
        <w:rPr>
          <w:rFonts w:asciiTheme="minorHAnsi" w:hAnsiTheme="minorHAnsi" w:cs="Arial"/>
          <w:i/>
          <w:iCs/>
          <w:sz w:val="22"/>
          <w:szCs w:val="22"/>
        </w:rPr>
        <w:t xml:space="preserve">signing our first global trade account </w:t>
      </w:r>
      <w:r w:rsidR="007C708A" w:rsidRPr="006348C5">
        <w:rPr>
          <w:rFonts w:asciiTheme="minorHAnsi" w:hAnsiTheme="minorHAnsi" w:cs="Arial"/>
          <w:i/>
          <w:iCs/>
          <w:sz w:val="22"/>
          <w:szCs w:val="22"/>
        </w:rPr>
        <w:t xml:space="preserve">in </w:t>
      </w:r>
      <w:r w:rsidR="006348C5" w:rsidRPr="006348C5">
        <w:rPr>
          <w:rFonts w:asciiTheme="minorHAnsi" w:hAnsiTheme="minorHAnsi" w:cs="Arial"/>
          <w:i/>
          <w:iCs/>
          <w:sz w:val="22"/>
          <w:szCs w:val="22"/>
        </w:rPr>
        <w:t>1996</w:t>
      </w:r>
      <w:r w:rsidR="000A2286">
        <w:rPr>
          <w:rFonts w:asciiTheme="minorHAnsi" w:hAnsiTheme="minorHAnsi" w:cs="Arial"/>
          <w:i/>
          <w:iCs/>
          <w:sz w:val="22"/>
          <w:szCs w:val="22"/>
        </w:rPr>
        <w:t xml:space="preserve"> we </w:t>
      </w:r>
      <w:r w:rsidR="007C708A">
        <w:rPr>
          <w:rFonts w:asciiTheme="minorHAnsi" w:hAnsiTheme="minorHAnsi" w:cs="Arial"/>
          <w:i/>
          <w:iCs/>
          <w:sz w:val="22"/>
          <w:szCs w:val="22"/>
        </w:rPr>
        <w:t xml:space="preserve">have consistently set the industry standard. </w:t>
      </w:r>
      <w:r w:rsidR="00946F20">
        <w:rPr>
          <w:rFonts w:asciiTheme="minorHAnsi" w:hAnsiTheme="minorHAnsi" w:cs="Arial"/>
          <w:i/>
          <w:iCs/>
          <w:sz w:val="22"/>
          <w:szCs w:val="22"/>
        </w:rPr>
        <w:t>Our</w:t>
      </w:r>
      <w:r w:rsidR="008E0274" w:rsidRPr="008E0274">
        <w:rPr>
          <w:rFonts w:asciiTheme="minorHAnsi" w:hAnsiTheme="minorHAnsi" w:cs="Arial"/>
          <w:i/>
          <w:iCs/>
          <w:sz w:val="22"/>
          <w:szCs w:val="22"/>
        </w:rPr>
        <w:t xml:space="preserve"> </w:t>
      </w:r>
      <w:r w:rsidR="007C708A">
        <w:rPr>
          <w:rFonts w:asciiTheme="minorHAnsi" w:hAnsiTheme="minorHAnsi" w:cs="Arial"/>
          <w:i/>
          <w:iCs/>
          <w:sz w:val="22"/>
          <w:szCs w:val="22"/>
        </w:rPr>
        <w:t>managed services offerings include</w:t>
      </w:r>
      <w:r w:rsidR="008E0274" w:rsidRPr="008E0274">
        <w:rPr>
          <w:rFonts w:asciiTheme="minorHAnsi" w:hAnsiTheme="minorHAnsi" w:cs="Arial"/>
          <w:i/>
          <w:iCs/>
          <w:sz w:val="22"/>
          <w:szCs w:val="22"/>
        </w:rPr>
        <w:t xml:space="preserve"> tariff classification, free trade agreement and preference program qualification and verification,</w:t>
      </w:r>
      <w:r w:rsidR="00946F20">
        <w:rPr>
          <w:rFonts w:asciiTheme="minorHAnsi" w:hAnsiTheme="minorHAnsi" w:cs="Arial"/>
          <w:i/>
          <w:iCs/>
          <w:sz w:val="22"/>
          <w:szCs w:val="22"/>
        </w:rPr>
        <w:t xml:space="preserve"> </w:t>
      </w:r>
      <w:r w:rsidR="000A2286">
        <w:rPr>
          <w:rFonts w:asciiTheme="minorHAnsi" w:hAnsiTheme="minorHAnsi" w:cs="Arial"/>
          <w:i/>
          <w:iCs/>
          <w:sz w:val="22"/>
          <w:szCs w:val="22"/>
        </w:rPr>
        <w:t>duty drawback,</w:t>
      </w:r>
      <w:r w:rsidR="008E0274" w:rsidRPr="008E0274">
        <w:rPr>
          <w:rFonts w:asciiTheme="minorHAnsi" w:hAnsiTheme="minorHAnsi" w:cs="Arial"/>
          <w:i/>
          <w:iCs/>
          <w:sz w:val="22"/>
          <w:szCs w:val="22"/>
        </w:rPr>
        <w:t xml:space="preserve"> duty deferral programs such as foreign trade zones and bonded warehouses, export controls, conflict minerals documentation and reporting, compliance with</w:t>
      </w:r>
      <w:r w:rsidR="000A2286">
        <w:rPr>
          <w:rFonts w:asciiTheme="minorHAnsi" w:hAnsiTheme="minorHAnsi" w:cs="Arial"/>
          <w:i/>
          <w:iCs/>
          <w:sz w:val="22"/>
          <w:szCs w:val="22"/>
        </w:rPr>
        <w:t xml:space="preserve"> OGA requirements, and</w:t>
      </w:r>
      <w:r w:rsidR="008E0274" w:rsidRPr="008E0274">
        <w:rPr>
          <w:rFonts w:asciiTheme="minorHAnsi" w:hAnsiTheme="minorHAnsi" w:cs="Arial"/>
          <w:i/>
          <w:iCs/>
          <w:sz w:val="22"/>
          <w:szCs w:val="22"/>
        </w:rPr>
        <w:t xml:space="preserve"> the myriad of complex rules and regulations specific to 70 countrie</w:t>
      </w:r>
      <w:r w:rsidR="00946F20">
        <w:rPr>
          <w:rFonts w:asciiTheme="minorHAnsi" w:hAnsiTheme="minorHAnsi" w:cs="Arial"/>
          <w:i/>
          <w:iCs/>
          <w:sz w:val="22"/>
          <w:szCs w:val="22"/>
        </w:rPr>
        <w:t>s</w:t>
      </w:r>
      <w:r w:rsidR="008E0274" w:rsidRPr="008E0274">
        <w:rPr>
          <w:rFonts w:asciiTheme="minorHAnsi" w:hAnsiTheme="minorHAnsi" w:cs="Arial"/>
          <w:i/>
          <w:iCs/>
          <w:sz w:val="22"/>
          <w:szCs w:val="22"/>
        </w:rPr>
        <w:t xml:space="preserve">. </w:t>
      </w:r>
    </w:p>
    <w:p w:rsidR="008E0274" w:rsidRPr="008E0274" w:rsidRDefault="008E0274" w:rsidP="008E0274">
      <w:pPr>
        <w:rPr>
          <w:rFonts w:asciiTheme="minorHAnsi" w:hAnsiTheme="minorHAnsi" w:cs="Arial"/>
          <w:i/>
          <w:iCs/>
          <w:sz w:val="22"/>
          <w:szCs w:val="22"/>
        </w:rPr>
      </w:pPr>
    </w:p>
    <w:p w:rsidR="00EE1181" w:rsidRDefault="008E0274" w:rsidP="008E0274">
      <w:pPr>
        <w:rPr>
          <w:rFonts w:asciiTheme="minorHAnsi" w:hAnsiTheme="minorHAnsi" w:cs="Arial"/>
          <w:i/>
          <w:iCs/>
          <w:sz w:val="22"/>
          <w:szCs w:val="22"/>
        </w:rPr>
      </w:pPr>
      <w:r w:rsidRPr="008E0274">
        <w:rPr>
          <w:rFonts w:asciiTheme="minorHAnsi" w:hAnsiTheme="minorHAnsi" w:cs="Arial"/>
          <w:i/>
          <w:iCs/>
          <w:sz w:val="22"/>
          <w:szCs w:val="22"/>
        </w:rPr>
        <w:t>Our clients include some of the largest multinational corporations in</w:t>
      </w:r>
      <w:r>
        <w:rPr>
          <w:rFonts w:asciiTheme="minorHAnsi" w:hAnsiTheme="minorHAnsi" w:cs="Arial"/>
          <w:i/>
          <w:iCs/>
          <w:sz w:val="22"/>
          <w:szCs w:val="22"/>
        </w:rPr>
        <w:t xml:space="preserve"> the world—including more than 2</w:t>
      </w:r>
      <w:r w:rsidRPr="008E0274">
        <w:rPr>
          <w:rFonts w:asciiTheme="minorHAnsi" w:hAnsiTheme="minorHAnsi" w:cs="Arial"/>
          <w:i/>
          <w:iCs/>
          <w:sz w:val="22"/>
          <w:szCs w:val="22"/>
        </w:rPr>
        <w:t>5 of the Fortune 100 companies—as well as mid-sized and smaller importers and exporters.</w:t>
      </w:r>
      <w:r w:rsidR="00EE1181">
        <w:rPr>
          <w:rFonts w:asciiTheme="minorHAnsi" w:hAnsiTheme="minorHAnsi" w:cs="Arial"/>
          <w:i/>
          <w:iCs/>
          <w:sz w:val="22"/>
          <w:szCs w:val="22"/>
        </w:rPr>
        <w:t xml:space="preserve"> </w:t>
      </w:r>
    </w:p>
    <w:p w:rsidR="008C2C55" w:rsidRDefault="008C2C55" w:rsidP="008E0274">
      <w:pPr>
        <w:rPr>
          <w:rFonts w:asciiTheme="minorHAnsi" w:hAnsiTheme="minorHAnsi" w:cs="Arial"/>
          <w:i/>
          <w:iCs/>
          <w:sz w:val="22"/>
          <w:szCs w:val="22"/>
        </w:rPr>
      </w:pPr>
    </w:p>
    <w:p w:rsidR="008E0274" w:rsidRDefault="00B92026" w:rsidP="008E0274">
      <w:pPr>
        <w:rPr>
          <w:rFonts w:asciiTheme="minorHAnsi" w:hAnsiTheme="minorHAnsi" w:cs="Arial"/>
          <w:i/>
          <w:iCs/>
          <w:sz w:val="22"/>
          <w:szCs w:val="22"/>
        </w:rPr>
      </w:pPr>
      <w:r>
        <w:rPr>
          <w:rFonts w:asciiTheme="minorHAnsi" w:hAnsiTheme="minorHAnsi" w:cs="Arial"/>
          <w:i/>
          <w:iCs/>
          <w:sz w:val="22"/>
          <w:szCs w:val="22"/>
        </w:rPr>
        <w:t xml:space="preserve">Why work at STTAS? </w:t>
      </w:r>
      <w:r w:rsidR="00EE1181">
        <w:rPr>
          <w:rFonts w:asciiTheme="minorHAnsi" w:hAnsiTheme="minorHAnsi" w:cs="Arial"/>
          <w:i/>
          <w:iCs/>
          <w:sz w:val="22"/>
          <w:szCs w:val="22"/>
        </w:rPr>
        <w:t>T</w:t>
      </w:r>
      <w:r w:rsidR="008E0274" w:rsidRPr="008E0274">
        <w:rPr>
          <w:rFonts w:asciiTheme="minorHAnsi" w:hAnsiTheme="minorHAnsi" w:cs="Arial"/>
          <w:i/>
          <w:iCs/>
          <w:sz w:val="22"/>
          <w:szCs w:val="22"/>
        </w:rPr>
        <w:t xml:space="preserve">wo distinctive qualities set us apart from the competition. </w:t>
      </w:r>
    </w:p>
    <w:p w:rsidR="00EE1181" w:rsidRPr="008E0274" w:rsidRDefault="00EE1181" w:rsidP="008E0274">
      <w:pPr>
        <w:rPr>
          <w:rFonts w:asciiTheme="minorHAnsi" w:hAnsiTheme="minorHAnsi" w:cs="Arial"/>
          <w:i/>
          <w:iCs/>
          <w:sz w:val="22"/>
          <w:szCs w:val="22"/>
        </w:rPr>
      </w:pPr>
    </w:p>
    <w:p w:rsidR="00B92026" w:rsidRDefault="002148F8" w:rsidP="00EE1181">
      <w:pPr>
        <w:pStyle w:val="ListParagraph"/>
        <w:numPr>
          <w:ilvl w:val="0"/>
          <w:numId w:val="10"/>
        </w:numPr>
        <w:rPr>
          <w:rFonts w:cs="Arial"/>
          <w:i/>
          <w:iCs/>
        </w:rPr>
      </w:pPr>
      <w:r w:rsidRPr="00B92026">
        <w:rPr>
          <w:rFonts w:cs="Arial"/>
          <w:i/>
          <w:iCs/>
        </w:rPr>
        <w:t xml:space="preserve">We know our staff makes us successful, and we work hard to put our staff first – because </w:t>
      </w:r>
      <w:r w:rsidR="00EE1181" w:rsidRPr="00B92026">
        <w:rPr>
          <w:rFonts w:cs="Arial"/>
          <w:i/>
          <w:iCs/>
        </w:rPr>
        <w:t>in return</w:t>
      </w:r>
      <w:r w:rsidRPr="00B92026">
        <w:rPr>
          <w:rFonts w:cs="Arial"/>
          <w:i/>
          <w:iCs/>
        </w:rPr>
        <w:t>, we get to be the best at what we do.</w:t>
      </w:r>
      <w:r w:rsidR="00B74B2B">
        <w:rPr>
          <w:rFonts w:cs="Arial"/>
          <w:i/>
          <w:iCs/>
        </w:rPr>
        <w:t xml:space="preserve"> In addition to competitive salary and generous benefits, we offer ongoing training, accessibility to senior leadership, an emphasis on work/life balance, and more. </w:t>
      </w:r>
      <w:r w:rsidRPr="00B92026">
        <w:rPr>
          <w:rFonts w:cs="Arial"/>
          <w:i/>
          <w:iCs/>
        </w:rPr>
        <w:t xml:space="preserve"> </w:t>
      </w:r>
    </w:p>
    <w:p w:rsidR="008C2C55" w:rsidRDefault="00B92026" w:rsidP="00B92026">
      <w:pPr>
        <w:pStyle w:val="ListParagraph"/>
        <w:numPr>
          <w:ilvl w:val="0"/>
          <w:numId w:val="10"/>
        </w:numPr>
        <w:rPr>
          <w:rFonts w:cs="Arial"/>
          <w:i/>
          <w:iCs/>
        </w:rPr>
      </w:pPr>
      <w:r w:rsidRPr="008C2C55">
        <w:rPr>
          <w:rFonts w:cs="Arial"/>
          <w:i/>
          <w:iCs/>
        </w:rPr>
        <w:t>G</w:t>
      </w:r>
      <w:r w:rsidR="00EE1181" w:rsidRPr="008C2C55">
        <w:rPr>
          <w:rFonts w:cs="Arial"/>
          <w:i/>
          <w:iCs/>
        </w:rPr>
        <w:t xml:space="preserve">lobal trade is our core competency. </w:t>
      </w:r>
      <w:r w:rsidR="008C2C55" w:rsidRPr="008C2C55">
        <w:rPr>
          <w:rFonts w:cs="Arial"/>
          <w:i/>
          <w:iCs/>
        </w:rPr>
        <w:t xml:space="preserve">You won’t work in the </w:t>
      </w:r>
      <w:r w:rsidRPr="008C2C55">
        <w:rPr>
          <w:rFonts w:cs="Arial"/>
          <w:i/>
          <w:iCs/>
        </w:rPr>
        <w:t xml:space="preserve">global trade </w:t>
      </w:r>
      <w:r w:rsidR="008C2C55" w:rsidRPr="008C2C55">
        <w:rPr>
          <w:rFonts w:cs="Arial"/>
          <w:i/>
          <w:iCs/>
        </w:rPr>
        <w:t xml:space="preserve">compliance </w:t>
      </w:r>
      <w:r w:rsidRPr="008C2C55">
        <w:rPr>
          <w:rFonts w:cs="Arial"/>
          <w:i/>
          <w:iCs/>
        </w:rPr>
        <w:t xml:space="preserve">group – </w:t>
      </w:r>
      <w:r w:rsidR="008C2C55" w:rsidRPr="008C2C55">
        <w:rPr>
          <w:rFonts w:cs="Arial"/>
          <w:i/>
          <w:iCs/>
        </w:rPr>
        <w:t xml:space="preserve">because the company </w:t>
      </w:r>
      <w:r w:rsidR="008C2C55" w:rsidRPr="008C2C55">
        <w:rPr>
          <w:rFonts w:cs="Arial"/>
          <w:b/>
          <w:i/>
          <w:iCs/>
        </w:rPr>
        <w:t>is</w:t>
      </w:r>
      <w:r w:rsidR="008C2C55" w:rsidRPr="008C2C55">
        <w:rPr>
          <w:rFonts w:cs="Arial"/>
          <w:i/>
          <w:iCs/>
        </w:rPr>
        <w:t xml:space="preserve"> a global trade compliance group.</w:t>
      </w:r>
      <w:r w:rsidR="008C2C55">
        <w:rPr>
          <w:rFonts w:cs="Arial"/>
          <w:i/>
          <w:iCs/>
        </w:rPr>
        <w:t xml:space="preserve"> Our focus on trade means that there is a path to promotion for every employee who </w:t>
      </w:r>
      <w:r w:rsidR="00B74B2B">
        <w:rPr>
          <w:rFonts w:cs="Arial"/>
          <w:i/>
          <w:iCs/>
        </w:rPr>
        <w:t xml:space="preserve">puts in the work. </w:t>
      </w:r>
    </w:p>
    <w:p w:rsidR="00B74B2B" w:rsidRDefault="00B74B2B" w:rsidP="00B74B2B">
      <w:pPr>
        <w:rPr>
          <w:rFonts w:asciiTheme="minorHAnsi" w:hAnsiTheme="minorHAnsi" w:cs="Arial"/>
          <w:i/>
          <w:iCs/>
          <w:sz w:val="22"/>
          <w:szCs w:val="22"/>
        </w:rPr>
      </w:pPr>
      <w:r w:rsidRPr="00B74B2B">
        <w:rPr>
          <w:rFonts w:asciiTheme="minorHAnsi" w:hAnsiTheme="minorHAnsi" w:cs="Arial"/>
          <w:i/>
          <w:iCs/>
          <w:sz w:val="22"/>
          <w:szCs w:val="22"/>
        </w:rPr>
        <w:t xml:space="preserve">We currently have 12 offices on 6 continents and are rapidly expanding worldwide. Our headquarters in Farmington Hills, MI, house more than 250 of our 750 employees. </w:t>
      </w:r>
    </w:p>
    <w:p w:rsidR="00B74B2B" w:rsidRPr="00B74B2B" w:rsidRDefault="00B74B2B" w:rsidP="00B74B2B">
      <w:pPr>
        <w:rPr>
          <w:rFonts w:asciiTheme="minorHAnsi" w:hAnsiTheme="minorHAnsi" w:cs="Arial"/>
          <w:i/>
          <w:iCs/>
          <w:sz w:val="22"/>
          <w:szCs w:val="22"/>
        </w:rPr>
      </w:pPr>
    </w:p>
    <w:p w:rsidR="00EE1181" w:rsidRDefault="008C2C55" w:rsidP="00B67247">
      <w:pPr>
        <w:rPr>
          <w:rFonts w:asciiTheme="minorHAnsi" w:hAnsiTheme="minorHAnsi" w:cs="Arial"/>
          <w:i/>
          <w:iCs/>
          <w:sz w:val="22"/>
          <w:szCs w:val="22"/>
        </w:rPr>
      </w:pPr>
      <w:r>
        <w:rPr>
          <w:rFonts w:asciiTheme="minorHAnsi" w:hAnsiTheme="minorHAnsi" w:cs="Arial"/>
          <w:i/>
          <w:iCs/>
          <w:sz w:val="22"/>
          <w:szCs w:val="22"/>
        </w:rPr>
        <w:t>STTAS is growing and we want you to be part of that growth.</w:t>
      </w:r>
    </w:p>
    <w:p w:rsidR="00416446" w:rsidRPr="00B67247" w:rsidRDefault="00D33F69" w:rsidP="000B5F0C">
      <w:pPr>
        <w:outlineLvl w:val="0"/>
        <w:rPr>
          <w:rFonts w:asciiTheme="minorHAnsi" w:hAnsiTheme="minorHAnsi"/>
          <w:b/>
          <w:sz w:val="22"/>
          <w:szCs w:val="22"/>
          <w:u w:val="single"/>
        </w:rPr>
      </w:pPr>
      <w:r w:rsidRPr="00B67247">
        <w:rPr>
          <w:rFonts w:asciiTheme="minorHAnsi" w:hAnsiTheme="minorHAnsi"/>
          <w:b/>
          <w:sz w:val="22"/>
          <w:szCs w:val="22"/>
          <w:u w:val="single"/>
        </w:rPr>
        <w:lastRenderedPageBreak/>
        <w:t>Job Description / Responsibilities / Requirements</w:t>
      </w:r>
    </w:p>
    <w:p w:rsidR="00E37356" w:rsidRPr="00B67247" w:rsidRDefault="00E37356" w:rsidP="00E37356">
      <w:pPr>
        <w:pStyle w:val="NormalWeb"/>
        <w:spacing w:line="255" w:lineRule="atLeast"/>
        <w:rPr>
          <w:rFonts w:asciiTheme="minorHAnsi" w:hAnsiTheme="minorHAnsi" w:cs="Arial"/>
          <w:color w:val="333333"/>
          <w:sz w:val="22"/>
          <w:szCs w:val="22"/>
          <w:lang w:val="en"/>
        </w:rPr>
      </w:pPr>
      <w:r w:rsidRPr="00B67247">
        <w:rPr>
          <w:rFonts w:asciiTheme="minorHAnsi" w:hAnsiTheme="minorHAnsi" w:cs="Arial"/>
          <w:b/>
          <w:color w:val="333333"/>
          <w:sz w:val="22"/>
          <w:szCs w:val="22"/>
          <w:lang w:val="en"/>
        </w:rPr>
        <w:t>The Technical Advisor</w:t>
      </w:r>
      <w:r w:rsidRPr="00B67247">
        <w:rPr>
          <w:rFonts w:asciiTheme="minorHAnsi" w:hAnsiTheme="minorHAnsi" w:cs="Arial"/>
          <w:color w:val="333333"/>
          <w:sz w:val="22"/>
          <w:szCs w:val="22"/>
          <w:lang w:val="en"/>
        </w:rPr>
        <w:t xml:space="preserve"> is responsible for Customs Compliance support; classifies clients’ merchandise; reviews work of classification analysts and their program managers to insure proper classification; provides insight, guidance, counsel and other supportive services as needed for the assignment of Harmonized Tariff classifications to clients’ products and other Customs matters; writes ruling requests to Customs and position papers or reports for clients on an as needed basis; researches and provides advice on difficult classification issues which arise; and proof reads and edits job quotations, reports, etc. for accuracy and completeness. This position also supports local export compliance. </w:t>
      </w:r>
    </w:p>
    <w:p w:rsidR="00B67247" w:rsidRPr="00B67247" w:rsidRDefault="00E37356" w:rsidP="00E37356">
      <w:pPr>
        <w:pStyle w:val="NormalWeb"/>
        <w:spacing w:line="255" w:lineRule="atLeast"/>
        <w:rPr>
          <w:rFonts w:asciiTheme="minorHAnsi" w:hAnsiTheme="minorHAnsi" w:cs="Arial"/>
          <w:color w:val="333333"/>
          <w:sz w:val="22"/>
          <w:szCs w:val="22"/>
          <w:lang w:val="en"/>
        </w:rPr>
      </w:pPr>
      <w:proofErr w:type="gramStart"/>
      <w:r w:rsidRPr="00B67247">
        <w:rPr>
          <w:rFonts w:asciiTheme="minorHAnsi" w:hAnsiTheme="minorHAnsi" w:cs="Arial"/>
          <w:color w:val="333333"/>
          <w:sz w:val="22"/>
          <w:szCs w:val="22"/>
          <w:lang w:val="en"/>
        </w:rPr>
        <w:t>Provides consultative services to both internal and external clients as well as foreign government officials, as needed.</w:t>
      </w:r>
      <w:proofErr w:type="gramEnd"/>
      <w:r w:rsidRPr="00B67247">
        <w:rPr>
          <w:rFonts w:asciiTheme="minorHAnsi" w:hAnsiTheme="minorHAnsi" w:cs="Arial"/>
          <w:color w:val="333333"/>
          <w:sz w:val="22"/>
          <w:szCs w:val="22"/>
          <w:lang w:val="en"/>
        </w:rPr>
        <w:t xml:space="preserve"> Coordinate and present various company technical seminars and training. </w:t>
      </w:r>
    </w:p>
    <w:p w:rsidR="00E37356" w:rsidRPr="00B67247" w:rsidRDefault="00E37356" w:rsidP="00E37356">
      <w:pPr>
        <w:pStyle w:val="NormalWeb"/>
        <w:spacing w:line="255" w:lineRule="atLeast"/>
        <w:rPr>
          <w:rFonts w:asciiTheme="minorHAnsi" w:hAnsiTheme="minorHAnsi" w:cs="Arial"/>
          <w:color w:val="333333"/>
          <w:sz w:val="22"/>
          <w:szCs w:val="22"/>
          <w:lang w:val="en"/>
        </w:rPr>
      </w:pPr>
      <w:r w:rsidRPr="00B67247">
        <w:rPr>
          <w:rFonts w:asciiTheme="minorHAnsi" w:hAnsiTheme="minorHAnsi" w:cs="Arial"/>
          <w:b/>
          <w:bCs/>
          <w:color w:val="333333"/>
          <w:sz w:val="22"/>
          <w:szCs w:val="22"/>
          <w:lang w:val="en"/>
        </w:rPr>
        <w:t>Some of the major accountabilities are summarized as follows:</w:t>
      </w:r>
      <w:r w:rsidRPr="00B67247">
        <w:rPr>
          <w:rFonts w:asciiTheme="minorHAnsi" w:hAnsiTheme="minorHAnsi" w:cs="Arial"/>
          <w:color w:val="333333"/>
          <w:sz w:val="22"/>
          <w:szCs w:val="22"/>
          <w:lang w:val="en"/>
        </w:rPr>
        <w:t xml:space="preserve">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Assigns or reviews tariff/export classifications to clients merchandise based on descriptive information.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Understanding complex international trade regulations and applying them to client needs.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Provides guidance and supports clients regarding export/re-export licensing determinations and authorization.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Monitoring the classification teams work load, productivity and progress.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Providing internal and external seminars and training on customs matters.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Managing multiple client priorities under demanding timelines.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Supports and conducts export client reviews and training for clients.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Serve as a mentor and trainer to those preparing to take the Customs Brokers Exam.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Provides guidance and counsel to other staff members on classification issues.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Stays current regarding changes in government rules and </w:t>
      </w:r>
      <w:r w:rsidR="00AC1F61" w:rsidRPr="00B67247">
        <w:rPr>
          <w:rFonts w:asciiTheme="minorHAnsi" w:hAnsiTheme="minorHAnsi" w:cs="Arial"/>
          <w:color w:val="333333"/>
          <w:sz w:val="22"/>
          <w:szCs w:val="22"/>
          <w:lang w:val="en"/>
        </w:rPr>
        <w:t>regulations</w:t>
      </w:r>
      <w:r w:rsidRPr="00B67247">
        <w:rPr>
          <w:rFonts w:asciiTheme="minorHAnsi" w:hAnsiTheme="minorHAnsi" w:cs="Arial"/>
          <w:color w:val="333333"/>
          <w:sz w:val="22"/>
          <w:szCs w:val="22"/>
          <w:lang w:val="en"/>
        </w:rPr>
        <w:t xml:space="preserve"> relating to import and export activities.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Attending and actively participating in team meetings, quarterly staff meetings, organizational, and other meetings.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Providing support to clients by performing activities including: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Communicating with clients, suppliers, and brokers both verbally and in writing.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Ensuring necessary information and documentation is requested from clients or other resources, and follow up is conducted to ensure delivery on a timely basis.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Reviewing and updating desk procedures.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Participating in client and other meetings on or off-site.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Resolve customer service issues and provide a direct interface between STTAS and clients.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Arranging for programming changes to STTAS software.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Complying with the standard STTAS quality and management system, and providing updates as necessary.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Complying with company policies, procedures and guidelines. </w:t>
      </w:r>
    </w:p>
    <w:p w:rsidR="00E37356" w:rsidRPr="00B67247" w:rsidRDefault="00E37356" w:rsidP="00E37356">
      <w:pPr>
        <w:pStyle w:val="NormalWeb"/>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b/>
          <w:bCs/>
          <w:color w:val="333333"/>
          <w:sz w:val="22"/>
          <w:szCs w:val="22"/>
          <w:lang w:val="en"/>
        </w:rPr>
        <w:t>Essential skills, knowledge and experience:</w:t>
      </w:r>
      <w:r w:rsidRPr="00B67247">
        <w:rPr>
          <w:rFonts w:asciiTheme="minorHAnsi" w:hAnsiTheme="minorHAnsi" w:cs="Arial"/>
          <w:color w:val="333333"/>
          <w:sz w:val="22"/>
          <w:szCs w:val="22"/>
          <w:lang w:val="en"/>
        </w:rPr>
        <w:t xml:space="preserve">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bCs/>
          <w:color w:val="333333"/>
          <w:sz w:val="22"/>
          <w:szCs w:val="22"/>
          <w:lang w:val="en"/>
        </w:rPr>
        <w:t>US Citizen or US Permanent Resident *</w:t>
      </w:r>
      <w:r w:rsidRPr="00B67247">
        <w:rPr>
          <w:rFonts w:asciiTheme="minorHAnsi" w:hAnsiTheme="minorHAnsi" w:cs="Arial"/>
          <w:color w:val="333333"/>
          <w:sz w:val="22"/>
          <w:szCs w:val="22"/>
          <w:lang w:val="en"/>
        </w:rPr>
        <w:t xml:space="preserve">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bCs/>
          <w:color w:val="333333"/>
          <w:sz w:val="22"/>
          <w:szCs w:val="22"/>
          <w:lang w:val="en"/>
        </w:rPr>
        <w:t>Extended, more than 5 years of technical experience in customs and international trade, preferably within a multinational environment.</w:t>
      </w:r>
      <w:r w:rsidRPr="00B67247">
        <w:rPr>
          <w:rFonts w:asciiTheme="minorHAnsi" w:hAnsiTheme="minorHAnsi" w:cs="Arial"/>
          <w:color w:val="333333"/>
          <w:sz w:val="22"/>
          <w:szCs w:val="22"/>
          <w:lang w:val="en"/>
        </w:rPr>
        <w:t xml:space="preserve">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bCs/>
          <w:color w:val="333333"/>
          <w:sz w:val="22"/>
          <w:szCs w:val="22"/>
          <w:lang w:val="en"/>
        </w:rPr>
        <w:t>Either a customs broker’s license or confirmed customs experience.</w:t>
      </w:r>
      <w:r w:rsidRPr="00B67247">
        <w:rPr>
          <w:rFonts w:asciiTheme="minorHAnsi" w:hAnsiTheme="minorHAnsi" w:cs="Arial"/>
          <w:color w:val="333333"/>
          <w:sz w:val="22"/>
          <w:szCs w:val="22"/>
          <w:lang w:val="en"/>
        </w:rPr>
        <w:t xml:space="preserve">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lastRenderedPageBreak/>
        <w:t xml:space="preserve">Ability to work under tight deadlines.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University degree or significant business experience and recommendation from previous employer.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Ability to read and understand lengthy and complex customs rules and regulations and apply them to the clients’ operations and issues.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Supply Chain Industry (import and export compliance) experience, a plus.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Additional language skills, a plus.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Multi-national company experience, a plus.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Must be able to travel internationally and hold a valid driver’s license and passport.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Position requires ability to work under tight deadlines.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Ability to read and understand lengthy and complex customs rules and regulations and apply them to the clients’ operations and issues.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Strategic thinker and decision maker with ability to manage projects from inception through execution.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Strong proficiency in MS Office (particularly Excel, Access and PowerPoint).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Excellent mathematical skills.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Must evidence excellent leadership skills.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Must be honest, dependable and confidential.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Must evidence excellent organizational skills and be able to work independently with minimal managerial input.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Self-starting with a can-do approach.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Concise communication skills (both verbally and in writing). Must possess good public speaking skills.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Interpersonal skills, ability to work well with a wide range of people from different parts of the business and countries.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Strong results orientation and performance focus.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Loyalty, honesty and dependability.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Full of initiative and drive. Must consistently demonstrate positive attitude, professional mannerisms and commitment to personal, team and company goals. </w:t>
      </w:r>
    </w:p>
    <w:p w:rsidR="00E37356" w:rsidRPr="00B67247" w:rsidRDefault="00E37356" w:rsidP="00E37356">
      <w:pPr>
        <w:pStyle w:val="NormalWeb"/>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 Many positions at STTAS require that employees be authorized or eligible to access controlled technology, technical data and/or software in full compliance with U.S. export laws and regulations on day one. For information on the U.S. export laws and regulations see: </w:t>
      </w:r>
    </w:p>
    <w:p w:rsidR="00E37356" w:rsidRPr="00B67247" w:rsidRDefault="006348C5" w:rsidP="00E37356">
      <w:pPr>
        <w:pStyle w:val="NormalWeb"/>
        <w:spacing w:before="0" w:beforeAutospacing="0" w:after="0" w:afterAutospacing="0"/>
        <w:rPr>
          <w:rFonts w:asciiTheme="minorHAnsi" w:hAnsiTheme="minorHAnsi" w:cs="Arial"/>
          <w:color w:val="333333"/>
          <w:sz w:val="22"/>
          <w:szCs w:val="22"/>
          <w:lang w:val="en"/>
        </w:rPr>
      </w:pPr>
      <w:hyperlink r:id="rId8" w:history="1">
        <w:r w:rsidR="00E37356" w:rsidRPr="00B67247">
          <w:rPr>
            <w:rStyle w:val="Hyperlink"/>
            <w:rFonts w:asciiTheme="minorHAnsi" w:hAnsiTheme="minorHAnsi" w:cs="Arial"/>
            <w:sz w:val="22"/>
            <w:szCs w:val="22"/>
            <w:lang w:val="en"/>
          </w:rPr>
          <w:t>http://www.pmddtc.state.gov</w:t>
        </w:r>
      </w:hyperlink>
      <w:r w:rsidR="00E37356" w:rsidRPr="00B67247">
        <w:rPr>
          <w:rFonts w:asciiTheme="minorHAnsi" w:hAnsiTheme="minorHAnsi" w:cs="Arial"/>
          <w:color w:val="333333"/>
          <w:sz w:val="22"/>
          <w:szCs w:val="22"/>
          <w:lang w:val="en"/>
        </w:rPr>
        <w:t xml:space="preserve"> </w:t>
      </w:r>
      <w:r w:rsidR="00E37356" w:rsidRPr="00B67247">
        <w:rPr>
          <w:rFonts w:asciiTheme="minorHAnsi" w:hAnsiTheme="minorHAnsi" w:cs="Arial"/>
          <w:color w:val="333333"/>
          <w:sz w:val="22"/>
          <w:szCs w:val="22"/>
          <w:lang w:val="en"/>
        </w:rPr>
        <w:br/>
      </w:r>
      <w:hyperlink r:id="rId9" w:history="1">
        <w:r w:rsidR="00E37356" w:rsidRPr="00B67247">
          <w:rPr>
            <w:rStyle w:val="Hyperlink"/>
            <w:rFonts w:asciiTheme="minorHAnsi" w:hAnsiTheme="minorHAnsi" w:cs="Arial"/>
            <w:sz w:val="22"/>
            <w:szCs w:val="22"/>
            <w:lang w:val="en"/>
          </w:rPr>
          <w:t>http://www.bis.doc.gov</w:t>
        </w:r>
      </w:hyperlink>
      <w:r w:rsidR="00E37356" w:rsidRPr="00B67247">
        <w:rPr>
          <w:rFonts w:asciiTheme="minorHAnsi" w:hAnsiTheme="minorHAnsi" w:cs="Arial"/>
          <w:color w:val="333333"/>
          <w:sz w:val="22"/>
          <w:szCs w:val="22"/>
          <w:lang w:val="en"/>
        </w:rPr>
        <w:t xml:space="preserve">  </w:t>
      </w:r>
    </w:p>
    <w:p w:rsidR="00E37356" w:rsidRPr="00B67247" w:rsidRDefault="006348C5" w:rsidP="00E37356">
      <w:pPr>
        <w:pStyle w:val="NormalWeb"/>
        <w:spacing w:before="0" w:beforeAutospacing="0" w:after="0" w:afterAutospacing="0"/>
        <w:rPr>
          <w:rFonts w:asciiTheme="minorHAnsi" w:hAnsiTheme="minorHAnsi" w:cs="Arial"/>
          <w:color w:val="333333"/>
          <w:sz w:val="22"/>
          <w:szCs w:val="22"/>
          <w:lang w:val="en"/>
        </w:rPr>
      </w:pPr>
      <w:hyperlink r:id="rId10" w:history="1">
        <w:r w:rsidR="00E37356" w:rsidRPr="00B67247">
          <w:rPr>
            <w:rStyle w:val="Hyperlink"/>
            <w:rFonts w:asciiTheme="minorHAnsi" w:hAnsiTheme="minorHAnsi" w:cs="Arial"/>
            <w:sz w:val="22"/>
            <w:szCs w:val="22"/>
            <w:lang w:val="en"/>
          </w:rPr>
          <w:t>http://treas.ofac.gov</w:t>
        </w:r>
      </w:hyperlink>
      <w:r w:rsidR="00E37356" w:rsidRPr="00B67247">
        <w:rPr>
          <w:rFonts w:asciiTheme="minorHAnsi" w:hAnsiTheme="minorHAnsi" w:cs="Arial"/>
          <w:color w:val="333333"/>
          <w:sz w:val="22"/>
          <w:szCs w:val="22"/>
          <w:lang w:val="en"/>
        </w:rPr>
        <w:t xml:space="preserve">  </w:t>
      </w:r>
    </w:p>
    <w:p w:rsidR="00E37356" w:rsidRPr="00B67247" w:rsidRDefault="00E37356" w:rsidP="00E37356">
      <w:pPr>
        <w:pStyle w:val="NormalWeb"/>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During the employment application process, candidates may be required to disclose citizenship (including any dual citizenship or nationality) and country of birth for U.S. export control compliance purposes. Requests for such disclosures are not prohibited by U.S. antidiscrimination and equal employment opportunity laws and regulations (see e.g., 42 U.S.C. 2000e-2(g)). Some candidates may be ineligible for employment in roles with STTAS which require export control eligibility or access authorizations if they are not U.S. citizens or U.S. permanent residents. </w:t>
      </w:r>
    </w:p>
    <w:p w:rsidR="00E37356" w:rsidRPr="00B67247" w:rsidRDefault="00E37356" w:rsidP="00E37356">
      <w:pPr>
        <w:pStyle w:val="NormalWeb"/>
        <w:spacing w:line="255" w:lineRule="atLeast"/>
        <w:rPr>
          <w:rFonts w:asciiTheme="minorHAnsi" w:hAnsiTheme="minorHAnsi" w:cs="Arial"/>
          <w:b/>
          <w:color w:val="333333"/>
          <w:sz w:val="22"/>
          <w:szCs w:val="22"/>
          <w:lang w:val="en"/>
        </w:rPr>
      </w:pPr>
      <w:r w:rsidRPr="00B67247">
        <w:rPr>
          <w:rFonts w:asciiTheme="minorHAnsi" w:hAnsiTheme="minorHAnsi" w:cs="Arial"/>
          <w:b/>
          <w:i/>
          <w:iCs/>
          <w:color w:val="333333"/>
          <w:sz w:val="22"/>
          <w:szCs w:val="22"/>
          <w:lang w:val="en"/>
        </w:rPr>
        <w:t>Employment is contingent upon successful completion of background investigation, including drug, alcohol, and criminal background check.</w:t>
      </w:r>
      <w:r w:rsidRPr="00B67247">
        <w:rPr>
          <w:rFonts w:asciiTheme="minorHAnsi" w:hAnsiTheme="minorHAnsi" w:cs="Arial"/>
          <w:b/>
          <w:color w:val="333333"/>
          <w:sz w:val="22"/>
          <w:szCs w:val="22"/>
          <w:lang w:val="en"/>
        </w:rPr>
        <w:t xml:space="preserve"> </w:t>
      </w:r>
    </w:p>
    <w:p w:rsidR="00E37356" w:rsidRPr="00B67247" w:rsidRDefault="00E37356" w:rsidP="00E37356">
      <w:pPr>
        <w:pStyle w:val="NormalWeb"/>
        <w:spacing w:line="255" w:lineRule="atLeast"/>
        <w:rPr>
          <w:rFonts w:asciiTheme="minorHAnsi" w:hAnsiTheme="minorHAnsi" w:cs="Arial"/>
          <w:b/>
          <w:i/>
          <w:iCs/>
          <w:color w:val="333333"/>
          <w:sz w:val="22"/>
          <w:szCs w:val="22"/>
          <w:lang w:val="en"/>
        </w:rPr>
      </w:pPr>
      <w:r w:rsidRPr="00B67247">
        <w:rPr>
          <w:rFonts w:asciiTheme="minorHAnsi" w:hAnsiTheme="minorHAnsi" w:cs="Arial"/>
          <w:b/>
          <w:i/>
          <w:iCs/>
          <w:color w:val="333333"/>
          <w:sz w:val="22"/>
          <w:szCs w:val="22"/>
          <w:lang w:val="en"/>
        </w:rPr>
        <w:t xml:space="preserve">All resumes are held in confidence. Resumes will not be accepted from recruiters or agencies without a previously signed contract. </w:t>
      </w:r>
    </w:p>
    <w:p w:rsidR="00D33F69" w:rsidRPr="00B67247" w:rsidRDefault="00D33F69" w:rsidP="0095166A">
      <w:pPr>
        <w:outlineLvl w:val="0"/>
        <w:rPr>
          <w:rFonts w:asciiTheme="minorHAnsi" w:hAnsiTheme="minorHAnsi"/>
          <w:b/>
          <w:sz w:val="22"/>
          <w:szCs w:val="22"/>
          <w:u w:val="single"/>
        </w:rPr>
      </w:pPr>
      <w:r w:rsidRPr="00B67247">
        <w:rPr>
          <w:rFonts w:asciiTheme="minorHAnsi" w:hAnsiTheme="minorHAnsi"/>
          <w:b/>
          <w:sz w:val="22"/>
          <w:szCs w:val="22"/>
          <w:u w:val="single"/>
        </w:rPr>
        <w:lastRenderedPageBreak/>
        <w:t>Contact Information</w:t>
      </w:r>
      <w:r w:rsidR="007E0737" w:rsidRPr="00B67247">
        <w:rPr>
          <w:rFonts w:asciiTheme="minorHAnsi" w:hAnsiTheme="minorHAnsi"/>
          <w:b/>
          <w:sz w:val="22"/>
          <w:szCs w:val="22"/>
          <w:u w:val="single"/>
        </w:rPr>
        <w:t xml:space="preserve"> to Apply</w:t>
      </w:r>
    </w:p>
    <w:p w:rsidR="00B67247" w:rsidRPr="00B67247" w:rsidRDefault="00B67247" w:rsidP="0095166A">
      <w:pPr>
        <w:outlineLvl w:val="0"/>
        <w:rPr>
          <w:rFonts w:asciiTheme="minorHAnsi" w:hAnsiTheme="minorHAnsi"/>
          <w:b/>
          <w:sz w:val="22"/>
          <w:szCs w:val="22"/>
          <w:u w:val="single"/>
        </w:rPr>
      </w:pPr>
    </w:p>
    <w:p w:rsidR="00B67247" w:rsidRPr="00B67247" w:rsidRDefault="00B67247" w:rsidP="0095166A">
      <w:pPr>
        <w:outlineLvl w:val="0"/>
        <w:rPr>
          <w:rFonts w:asciiTheme="minorHAnsi" w:hAnsiTheme="minorHAnsi"/>
          <w:sz w:val="22"/>
          <w:szCs w:val="22"/>
        </w:rPr>
      </w:pPr>
      <w:r w:rsidRPr="00B67247">
        <w:rPr>
          <w:rFonts w:asciiTheme="minorHAnsi" w:hAnsiTheme="minorHAnsi"/>
          <w:sz w:val="22"/>
          <w:szCs w:val="22"/>
        </w:rPr>
        <w:t xml:space="preserve">Please contact Lisa Roman: </w:t>
      </w:r>
      <w:hyperlink r:id="rId11" w:history="1">
        <w:r w:rsidRPr="00B67247">
          <w:rPr>
            <w:rStyle w:val="Hyperlink"/>
            <w:rFonts w:asciiTheme="minorHAnsi" w:hAnsiTheme="minorHAnsi"/>
            <w:sz w:val="22"/>
            <w:szCs w:val="22"/>
            <w:u w:val="none"/>
          </w:rPr>
          <w:t>lroman@sttas.com</w:t>
        </w:r>
      </w:hyperlink>
      <w:r w:rsidRPr="00B67247">
        <w:rPr>
          <w:rFonts w:asciiTheme="minorHAnsi" w:hAnsiTheme="minorHAnsi"/>
          <w:sz w:val="22"/>
          <w:szCs w:val="22"/>
        </w:rPr>
        <w:t xml:space="preserve"> or apply online:</w:t>
      </w:r>
    </w:p>
    <w:p w:rsidR="00B67247" w:rsidRPr="00B67247" w:rsidRDefault="00B67247" w:rsidP="0095166A">
      <w:pPr>
        <w:outlineLvl w:val="0"/>
        <w:rPr>
          <w:rFonts w:asciiTheme="minorHAnsi" w:hAnsiTheme="minorHAnsi"/>
          <w:sz w:val="22"/>
          <w:szCs w:val="22"/>
        </w:rPr>
      </w:pPr>
    </w:p>
    <w:p w:rsidR="00B67247" w:rsidRPr="00B67247" w:rsidRDefault="006348C5" w:rsidP="0095166A">
      <w:pPr>
        <w:outlineLvl w:val="0"/>
        <w:rPr>
          <w:rFonts w:asciiTheme="minorHAnsi" w:hAnsiTheme="minorHAnsi"/>
          <w:sz w:val="22"/>
          <w:szCs w:val="22"/>
        </w:rPr>
      </w:pPr>
      <w:hyperlink r:id="rId12" w:history="1">
        <w:r w:rsidR="00B67247" w:rsidRPr="00B67247">
          <w:rPr>
            <w:rStyle w:val="Hyperlink"/>
            <w:rFonts w:asciiTheme="minorHAnsi" w:hAnsiTheme="minorHAnsi"/>
            <w:sz w:val="22"/>
            <w:szCs w:val="22"/>
            <w:u w:val="none"/>
          </w:rPr>
          <w:t>https://www.linkedin.com/company/sandler-&amp;-travis-trade-advisory-services-inc./careers</w:t>
        </w:r>
      </w:hyperlink>
      <w:r w:rsidR="00B67247" w:rsidRPr="00B67247">
        <w:rPr>
          <w:rFonts w:asciiTheme="minorHAnsi" w:hAnsiTheme="minorHAnsi"/>
          <w:sz w:val="22"/>
          <w:szCs w:val="22"/>
        </w:rPr>
        <w:t xml:space="preserve"> </w:t>
      </w:r>
    </w:p>
    <w:p w:rsidR="00D33F69" w:rsidRPr="00B67247" w:rsidRDefault="00D33F69">
      <w:pPr>
        <w:rPr>
          <w:rFonts w:asciiTheme="minorHAnsi" w:hAnsiTheme="minorHAnsi"/>
          <w:sz w:val="22"/>
          <w:szCs w:val="22"/>
        </w:rPr>
      </w:pPr>
    </w:p>
    <w:p w:rsidR="00D33F69" w:rsidRPr="00B67247" w:rsidRDefault="006348C5">
      <w:pPr>
        <w:rPr>
          <w:rFonts w:asciiTheme="minorHAnsi" w:hAnsiTheme="minorHAnsi"/>
          <w:sz w:val="22"/>
          <w:szCs w:val="22"/>
        </w:rPr>
      </w:pPr>
      <w:hyperlink r:id="rId13" w:history="1">
        <w:r w:rsidR="00B67247" w:rsidRPr="00B67247">
          <w:rPr>
            <w:rStyle w:val="Hyperlink"/>
            <w:rFonts w:asciiTheme="minorHAnsi" w:hAnsiTheme="minorHAnsi"/>
            <w:sz w:val="22"/>
            <w:szCs w:val="22"/>
            <w:u w:val="none"/>
          </w:rPr>
          <w:t>http://www.strtrade.com/about-career-sttas.html</w:t>
        </w:r>
      </w:hyperlink>
    </w:p>
    <w:p w:rsidR="00B67247" w:rsidRPr="00B67247" w:rsidRDefault="00B67247">
      <w:pPr>
        <w:rPr>
          <w:rFonts w:asciiTheme="minorHAnsi" w:hAnsiTheme="minorHAnsi"/>
          <w:b/>
          <w:sz w:val="22"/>
          <w:szCs w:val="22"/>
          <w:u w:val="single"/>
        </w:rPr>
      </w:pPr>
    </w:p>
    <w:p w:rsidR="00B67247" w:rsidRPr="00B67247" w:rsidRDefault="00B67247">
      <w:pPr>
        <w:rPr>
          <w:rFonts w:asciiTheme="minorHAnsi" w:hAnsiTheme="minorHAnsi"/>
          <w:b/>
          <w:sz w:val="22"/>
          <w:szCs w:val="22"/>
          <w:u w:val="single"/>
        </w:rPr>
      </w:pPr>
    </w:p>
    <w:p w:rsidR="004815C6" w:rsidRPr="004815C6" w:rsidRDefault="004815C6" w:rsidP="004815C6">
      <w:pPr>
        <w:pStyle w:val="NormalWeb"/>
        <w:spacing w:line="255" w:lineRule="atLeast"/>
        <w:jc w:val="center"/>
        <w:rPr>
          <w:rFonts w:ascii="Calibri" w:hAnsi="Calibri" w:cs="Arial"/>
          <w:b/>
          <w:color w:val="333333"/>
          <w:sz w:val="22"/>
          <w:szCs w:val="22"/>
          <w:lang w:val="en"/>
        </w:rPr>
      </w:pPr>
      <w:r w:rsidRPr="004815C6">
        <w:rPr>
          <w:rFonts w:ascii="Calibri" w:hAnsi="Calibri" w:cs="Arial"/>
          <w:b/>
          <w:i/>
          <w:iCs/>
          <w:color w:val="333333"/>
          <w:sz w:val="22"/>
          <w:szCs w:val="22"/>
          <w:lang w:val="en"/>
        </w:rPr>
        <w:t>Sandler &amp; Travis Trade Advisory Services, Inc. (STTAS) is an equal opportunity employer</w:t>
      </w:r>
    </w:p>
    <w:p w:rsidR="00B67247" w:rsidRPr="00B67247" w:rsidRDefault="00B67247">
      <w:pPr>
        <w:rPr>
          <w:rFonts w:asciiTheme="minorHAnsi" w:hAnsiTheme="minorHAnsi"/>
          <w:b/>
          <w:sz w:val="22"/>
          <w:szCs w:val="22"/>
          <w:u w:val="single"/>
        </w:rPr>
      </w:pPr>
    </w:p>
    <w:sectPr w:rsidR="00B67247" w:rsidRPr="00B67247" w:rsidSect="00B67247">
      <w:pgSz w:w="12240" w:h="15840"/>
      <w:pgMar w:top="1440" w:right="1080" w:bottom="1440" w:left="108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740F"/>
    <w:multiLevelType w:val="multilevel"/>
    <w:tmpl w:val="8512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245653"/>
    <w:multiLevelType w:val="hybridMultilevel"/>
    <w:tmpl w:val="1D303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0E0D45"/>
    <w:multiLevelType w:val="hybridMultilevel"/>
    <w:tmpl w:val="758A9B76"/>
    <w:lvl w:ilvl="0" w:tplc="6F3CC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5D4463"/>
    <w:multiLevelType w:val="hybridMultilevel"/>
    <w:tmpl w:val="02AA9B4C"/>
    <w:lvl w:ilvl="0" w:tplc="8598922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AE2233"/>
    <w:multiLevelType w:val="hybridMultilevel"/>
    <w:tmpl w:val="4AD06DEC"/>
    <w:lvl w:ilvl="0" w:tplc="6F3CCF66">
      <w:start w:val="1"/>
      <w:numFmt w:val="bullet"/>
      <w:lvlText w:val=""/>
      <w:lvlJc w:val="left"/>
      <w:pPr>
        <w:ind w:left="720" w:hanging="360"/>
      </w:pPr>
      <w:rPr>
        <w:rFonts w:ascii="Symbol" w:hAnsi="Symbol" w:hint="default"/>
      </w:rPr>
    </w:lvl>
    <w:lvl w:ilvl="1" w:tplc="D01A2FB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1E0CA9"/>
    <w:multiLevelType w:val="hybridMultilevel"/>
    <w:tmpl w:val="7F66E806"/>
    <w:lvl w:ilvl="0" w:tplc="6EEA5F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452444"/>
    <w:multiLevelType w:val="hybridMultilevel"/>
    <w:tmpl w:val="DB1C4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7461CD"/>
    <w:multiLevelType w:val="hybridMultilevel"/>
    <w:tmpl w:val="E1A4FA5E"/>
    <w:lvl w:ilvl="0" w:tplc="3794A3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9F308D"/>
    <w:multiLevelType w:val="hybridMultilevel"/>
    <w:tmpl w:val="8244D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343B5C"/>
    <w:multiLevelType w:val="multilevel"/>
    <w:tmpl w:val="E1E8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5"/>
  </w:num>
  <w:num w:numId="4">
    <w:abstractNumId w:val="9"/>
  </w:num>
  <w:num w:numId="5">
    <w:abstractNumId w:val="4"/>
  </w:num>
  <w:num w:numId="6">
    <w:abstractNumId w:val="8"/>
  </w:num>
  <w:num w:numId="7">
    <w:abstractNumId w:val="6"/>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16370"/>
    <w:rsid w:val="000964F0"/>
    <w:rsid w:val="000A2286"/>
    <w:rsid w:val="000B5F0C"/>
    <w:rsid w:val="001622FC"/>
    <w:rsid w:val="00173EAA"/>
    <w:rsid w:val="002148F8"/>
    <w:rsid w:val="002A30E9"/>
    <w:rsid w:val="002B79AD"/>
    <w:rsid w:val="00416446"/>
    <w:rsid w:val="004815C6"/>
    <w:rsid w:val="004B780E"/>
    <w:rsid w:val="00534443"/>
    <w:rsid w:val="006348C5"/>
    <w:rsid w:val="0065100E"/>
    <w:rsid w:val="007C6B45"/>
    <w:rsid w:val="007C708A"/>
    <w:rsid w:val="007E0737"/>
    <w:rsid w:val="00802771"/>
    <w:rsid w:val="0088762E"/>
    <w:rsid w:val="008C2C55"/>
    <w:rsid w:val="008E0274"/>
    <w:rsid w:val="009361E0"/>
    <w:rsid w:val="00946F20"/>
    <w:rsid w:val="0095166A"/>
    <w:rsid w:val="009863AA"/>
    <w:rsid w:val="009B3DEB"/>
    <w:rsid w:val="00A27B0D"/>
    <w:rsid w:val="00AC1F61"/>
    <w:rsid w:val="00B418E6"/>
    <w:rsid w:val="00B67247"/>
    <w:rsid w:val="00B74B2B"/>
    <w:rsid w:val="00B92026"/>
    <w:rsid w:val="00C824C2"/>
    <w:rsid w:val="00CA1D8F"/>
    <w:rsid w:val="00D33F69"/>
    <w:rsid w:val="00D353DF"/>
    <w:rsid w:val="00E37356"/>
    <w:rsid w:val="00EE1181"/>
    <w:rsid w:val="00EF1091"/>
    <w:rsid w:val="00F77EC7"/>
    <w:rsid w:val="00FE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E37356"/>
    <w:pPr>
      <w:spacing w:before="100" w:beforeAutospacing="1" w:after="100" w:afterAutospacing="1"/>
    </w:pPr>
  </w:style>
  <w:style w:type="character" w:styleId="Hyperlink">
    <w:name w:val="Hyperlink"/>
    <w:rsid w:val="00E37356"/>
    <w:rPr>
      <w:color w:val="0000FF"/>
      <w:u w:val="single"/>
    </w:rPr>
  </w:style>
  <w:style w:type="paragraph" w:styleId="BalloonText">
    <w:name w:val="Balloon Text"/>
    <w:basedOn w:val="Normal"/>
    <w:link w:val="BalloonTextChar"/>
    <w:rsid w:val="002B79AD"/>
    <w:rPr>
      <w:rFonts w:ascii="Tahoma" w:hAnsi="Tahoma" w:cs="Tahoma"/>
      <w:sz w:val="16"/>
      <w:szCs w:val="16"/>
    </w:rPr>
  </w:style>
  <w:style w:type="character" w:customStyle="1" w:styleId="BalloonTextChar">
    <w:name w:val="Balloon Text Char"/>
    <w:basedOn w:val="DefaultParagraphFont"/>
    <w:link w:val="BalloonText"/>
    <w:rsid w:val="002B79AD"/>
    <w:rPr>
      <w:rFonts w:ascii="Tahoma" w:hAnsi="Tahoma" w:cs="Tahoma"/>
      <w:sz w:val="16"/>
      <w:szCs w:val="16"/>
    </w:rPr>
  </w:style>
  <w:style w:type="paragraph" w:styleId="ListParagraph">
    <w:name w:val="List Paragraph"/>
    <w:basedOn w:val="Normal"/>
    <w:uiPriority w:val="34"/>
    <w:qFormat/>
    <w:rsid w:val="00D353DF"/>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E37356"/>
    <w:pPr>
      <w:spacing w:before="100" w:beforeAutospacing="1" w:after="100" w:afterAutospacing="1"/>
    </w:pPr>
  </w:style>
  <w:style w:type="character" w:styleId="Hyperlink">
    <w:name w:val="Hyperlink"/>
    <w:rsid w:val="00E37356"/>
    <w:rPr>
      <w:color w:val="0000FF"/>
      <w:u w:val="single"/>
    </w:rPr>
  </w:style>
  <w:style w:type="paragraph" w:styleId="BalloonText">
    <w:name w:val="Balloon Text"/>
    <w:basedOn w:val="Normal"/>
    <w:link w:val="BalloonTextChar"/>
    <w:rsid w:val="002B79AD"/>
    <w:rPr>
      <w:rFonts w:ascii="Tahoma" w:hAnsi="Tahoma" w:cs="Tahoma"/>
      <w:sz w:val="16"/>
      <w:szCs w:val="16"/>
    </w:rPr>
  </w:style>
  <w:style w:type="character" w:customStyle="1" w:styleId="BalloonTextChar">
    <w:name w:val="Balloon Text Char"/>
    <w:basedOn w:val="DefaultParagraphFont"/>
    <w:link w:val="BalloonText"/>
    <w:rsid w:val="002B79AD"/>
    <w:rPr>
      <w:rFonts w:ascii="Tahoma" w:hAnsi="Tahoma" w:cs="Tahoma"/>
      <w:sz w:val="16"/>
      <w:szCs w:val="16"/>
    </w:rPr>
  </w:style>
  <w:style w:type="paragraph" w:styleId="ListParagraph">
    <w:name w:val="List Paragraph"/>
    <w:basedOn w:val="Normal"/>
    <w:uiPriority w:val="34"/>
    <w:qFormat/>
    <w:rsid w:val="00D353D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5859">
      <w:bodyDiv w:val="1"/>
      <w:marLeft w:val="0"/>
      <w:marRight w:val="0"/>
      <w:marTop w:val="0"/>
      <w:marBottom w:val="0"/>
      <w:divBdr>
        <w:top w:val="none" w:sz="0" w:space="0" w:color="auto"/>
        <w:left w:val="none" w:sz="0" w:space="0" w:color="auto"/>
        <w:bottom w:val="none" w:sz="0" w:space="0" w:color="auto"/>
        <w:right w:val="none" w:sz="0" w:space="0" w:color="auto"/>
      </w:divBdr>
    </w:div>
    <w:div w:id="732890210">
      <w:bodyDiv w:val="1"/>
      <w:marLeft w:val="0"/>
      <w:marRight w:val="0"/>
      <w:marTop w:val="0"/>
      <w:marBottom w:val="0"/>
      <w:divBdr>
        <w:top w:val="none" w:sz="0" w:space="0" w:color="auto"/>
        <w:left w:val="none" w:sz="0" w:space="0" w:color="auto"/>
        <w:bottom w:val="none" w:sz="0" w:space="0" w:color="auto"/>
        <w:right w:val="none" w:sz="0" w:space="0" w:color="auto"/>
      </w:divBdr>
      <w:divsChild>
        <w:div w:id="394663648">
          <w:marLeft w:val="0"/>
          <w:marRight w:val="0"/>
          <w:marTop w:val="0"/>
          <w:marBottom w:val="0"/>
          <w:divBdr>
            <w:top w:val="none" w:sz="0" w:space="0" w:color="auto"/>
            <w:left w:val="none" w:sz="0" w:space="0" w:color="auto"/>
            <w:bottom w:val="none" w:sz="0" w:space="0" w:color="auto"/>
            <w:right w:val="none" w:sz="0" w:space="0" w:color="auto"/>
          </w:divBdr>
          <w:divsChild>
            <w:div w:id="446505473">
              <w:marLeft w:val="0"/>
              <w:marRight w:val="0"/>
              <w:marTop w:val="0"/>
              <w:marBottom w:val="0"/>
              <w:divBdr>
                <w:top w:val="none" w:sz="0" w:space="0" w:color="auto"/>
                <w:left w:val="none" w:sz="0" w:space="0" w:color="auto"/>
                <w:bottom w:val="none" w:sz="0" w:space="0" w:color="auto"/>
                <w:right w:val="none" w:sz="0" w:space="0" w:color="auto"/>
              </w:divBdr>
              <w:divsChild>
                <w:div w:id="1676613537">
                  <w:marLeft w:val="0"/>
                  <w:marRight w:val="0"/>
                  <w:marTop w:val="0"/>
                  <w:marBottom w:val="0"/>
                  <w:divBdr>
                    <w:top w:val="none" w:sz="0" w:space="0" w:color="auto"/>
                    <w:left w:val="none" w:sz="0" w:space="0" w:color="auto"/>
                    <w:bottom w:val="none" w:sz="0" w:space="0" w:color="auto"/>
                    <w:right w:val="none" w:sz="0" w:space="0" w:color="auto"/>
                  </w:divBdr>
                  <w:divsChild>
                    <w:div w:id="417169389">
                      <w:marLeft w:val="0"/>
                      <w:marRight w:val="0"/>
                      <w:marTop w:val="0"/>
                      <w:marBottom w:val="0"/>
                      <w:divBdr>
                        <w:top w:val="none" w:sz="0" w:space="0" w:color="auto"/>
                        <w:left w:val="none" w:sz="0" w:space="0" w:color="auto"/>
                        <w:bottom w:val="none" w:sz="0" w:space="0" w:color="auto"/>
                        <w:right w:val="none" w:sz="0" w:space="0" w:color="auto"/>
                      </w:divBdr>
                      <w:divsChild>
                        <w:div w:id="519122624">
                          <w:marLeft w:val="0"/>
                          <w:marRight w:val="0"/>
                          <w:marTop w:val="0"/>
                          <w:marBottom w:val="0"/>
                          <w:divBdr>
                            <w:top w:val="none" w:sz="0" w:space="0" w:color="auto"/>
                            <w:left w:val="none" w:sz="0" w:space="0" w:color="auto"/>
                            <w:bottom w:val="none" w:sz="0" w:space="0" w:color="auto"/>
                            <w:right w:val="none" w:sz="0" w:space="0" w:color="auto"/>
                          </w:divBdr>
                          <w:divsChild>
                            <w:div w:id="48504868">
                              <w:marLeft w:val="0"/>
                              <w:marRight w:val="0"/>
                              <w:marTop w:val="0"/>
                              <w:marBottom w:val="0"/>
                              <w:divBdr>
                                <w:top w:val="none" w:sz="0" w:space="0" w:color="auto"/>
                                <w:left w:val="none" w:sz="0" w:space="0" w:color="auto"/>
                                <w:bottom w:val="none" w:sz="0" w:space="0" w:color="auto"/>
                                <w:right w:val="none" w:sz="0" w:space="0" w:color="auto"/>
                              </w:divBdr>
                              <w:divsChild>
                                <w:div w:id="343170692">
                                  <w:marLeft w:val="0"/>
                                  <w:marRight w:val="0"/>
                                  <w:marTop w:val="0"/>
                                  <w:marBottom w:val="0"/>
                                  <w:divBdr>
                                    <w:top w:val="none" w:sz="0" w:space="0" w:color="auto"/>
                                    <w:left w:val="none" w:sz="0" w:space="0" w:color="auto"/>
                                    <w:bottom w:val="none" w:sz="0" w:space="0" w:color="auto"/>
                                    <w:right w:val="none" w:sz="0" w:space="0" w:color="auto"/>
                                  </w:divBdr>
                                  <w:divsChild>
                                    <w:div w:id="6542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402774">
      <w:bodyDiv w:val="1"/>
      <w:marLeft w:val="0"/>
      <w:marRight w:val="0"/>
      <w:marTop w:val="0"/>
      <w:marBottom w:val="0"/>
      <w:divBdr>
        <w:top w:val="none" w:sz="0" w:space="0" w:color="auto"/>
        <w:left w:val="none" w:sz="0" w:space="0" w:color="auto"/>
        <w:bottom w:val="none" w:sz="0" w:space="0" w:color="auto"/>
        <w:right w:val="none" w:sz="0" w:space="0" w:color="auto"/>
      </w:divBdr>
    </w:div>
    <w:div w:id="1912344346">
      <w:bodyDiv w:val="1"/>
      <w:marLeft w:val="0"/>
      <w:marRight w:val="0"/>
      <w:marTop w:val="0"/>
      <w:marBottom w:val="0"/>
      <w:divBdr>
        <w:top w:val="none" w:sz="0" w:space="0" w:color="auto"/>
        <w:left w:val="none" w:sz="0" w:space="0" w:color="auto"/>
        <w:bottom w:val="none" w:sz="0" w:space="0" w:color="auto"/>
        <w:right w:val="none" w:sz="0" w:space="0" w:color="auto"/>
      </w:divBdr>
      <w:divsChild>
        <w:div w:id="1237398414">
          <w:marLeft w:val="0"/>
          <w:marRight w:val="0"/>
          <w:marTop w:val="0"/>
          <w:marBottom w:val="0"/>
          <w:divBdr>
            <w:top w:val="none" w:sz="0" w:space="0" w:color="auto"/>
            <w:left w:val="none" w:sz="0" w:space="0" w:color="auto"/>
            <w:bottom w:val="none" w:sz="0" w:space="0" w:color="auto"/>
            <w:right w:val="none" w:sz="0" w:space="0" w:color="auto"/>
          </w:divBdr>
          <w:divsChild>
            <w:div w:id="1846435812">
              <w:marLeft w:val="0"/>
              <w:marRight w:val="0"/>
              <w:marTop w:val="0"/>
              <w:marBottom w:val="0"/>
              <w:divBdr>
                <w:top w:val="none" w:sz="0" w:space="0" w:color="auto"/>
                <w:left w:val="none" w:sz="0" w:space="0" w:color="auto"/>
                <w:bottom w:val="none" w:sz="0" w:space="0" w:color="auto"/>
                <w:right w:val="none" w:sz="0" w:space="0" w:color="auto"/>
              </w:divBdr>
              <w:divsChild>
                <w:div w:id="2056732225">
                  <w:marLeft w:val="0"/>
                  <w:marRight w:val="0"/>
                  <w:marTop w:val="0"/>
                  <w:marBottom w:val="0"/>
                  <w:divBdr>
                    <w:top w:val="none" w:sz="0" w:space="0" w:color="auto"/>
                    <w:left w:val="none" w:sz="0" w:space="0" w:color="auto"/>
                    <w:bottom w:val="none" w:sz="0" w:space="0" w:color="auto"/>
                    <w:right w:val="none" w:sz="0" w:space="0" w:color="auto"/>
                  </w:divBdr>
                  <w:divsChild>
                    <w:div w:id="113252724">
                      <w:marLeft w:val="0"/>
                      <w:marRight w:val="0"/>
                      <w:marTop w:val="0"/>
                      <w:marBottom w:val="0"/>
                      <w:divBdr>
                        <w:top w:val="none" w:sz="0" w:space="0" w:color="auto"/>
                        <w:left w:val="none" w:sz="0" w:space="0" w:color="auto"/>
                        <w:bottom w:val="none" w:sz="0" w:space="0" w:color="auto"/>
                        <w:right w:val="none" w:sz="0" w:space="0" w:color="auto"/>
                      </w:divBdr>
                      <w:divsChild>
                        <w:div w:id="744229412">
                          <w:marLeft w:val="0"/>
                          <w:marRight w:val="0"/>
                          <w:marTop w:val="0"/>
                          <w:marBottom w:val="0"/>
                          <w:divBdr>
                            <w:top w:val="none" w:sz="0" w:space="0" w:color="auto"/>
                            <w:left w:val="none" w:sz="0" w:space="0" w:color="auto"/>
                            <w:bottom w:val="none" w:sz="0" w:space="0" w:color="auto"/>
                            <w:right w:val="none" w:sz="0" w:space="0" w:color="auto"/>
                          </w:divBdr>
                          <w:divsChild>
                            <w:div w:id="470174329">
                              <w:marLeft w:val="0"/>
                              <w:marRight w:val="0"/>
                              <w:marTop w:val="0"/>
                              <w:marBottom w:val="0"/>
                              <w:divBdr>
                                <w:top w:val="none" w:sz="0" w:space="0" w:color="auto"/>
                                <w:left w:val="none" w:sz="0" w:space="0" w:color="auto"/>
                                <w:bottom w:val="none" w:sz="0" w:space="0" w:color="auto"/>
                                <w:right w:val="none" w:sz="0" w:space="0" w:color="auto"/>
                              </w:divBdr>
                              <w:divsChild>
                                <w:div w:id="264462353">
                                  <w:marLeft w:val="0"/>
                                  <w:marRight w:val="0"/>
                                  <w:marTop w:val="0"/>
                                  <w:marBottom w:val="0"/>
                                  <w:divBdr>
                                    <w:top w:val="none" w:sz="0" w:space="0" w:color="auto"/>
                                    <w:left w:val="none" w:sz="0" w:space="0" w:color="auto"/>
                                    <w:bottom w:val="none" w:sz="0" w:space="0" w:color="auto"/>
                                    <w:right w:val="none" w:sz="0" w:space="0" w:color="auto"/>
                                  </w:divBdr>
                                  <w:divsChild>
                                    <w:div w:id="1587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pmddtc.state.gov" TargetMode="External"/><Relationship Id="rId13" Type="http://schemas.openxmlformats.org/officeDocument/2006/relationships/hyperlink" Target="http://www.strtrade.com/about-career-sttas.html"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linkedin.com/company/sandler-&amp;-travis-trade-advisory-services-inc./careers"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lroman@stta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reas.ofac.gov" TargetMode="External"/><Relationship Id="rId4" Type="http://schemas.microsoft.com/office/2007/relationships/stylesWithEffects" Target="stylesWithEffects.xml"/><Relationship Id="rId9" Type="http://schemas.openxmlformats.org/officeDocument/2006/relationships/hyperlink" Target="http://www.bis.do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8704</CharactersWithSpaces>
  <SharedDoc>false</SharedDoc>
  <HLinks>
    <vt:vector size="18" baseType="variant">
      <vt:variant>
        <vt:i4>2687008</vt:i4>
      </vt:variant>
      <vt:variant>
        <vt:i4>6</vt:i4>
      </vt:variant>
      <vt:variant>
        <vt:i4>0</vt:i4>
      </vt:variant>
      <vt:variant>
        <vt:i4>5</vt:i4>
      </vt:variant>
      <vt:variant>
        <vt:lpwstr>http://treas.ofac.gov/</vt:lpwstr>
      </vt:variant>
      <vt:variant>
        <vt:lpwstr/>
      </vt:variant>
      <vt:variant>
        <vt:i4>2883641</vt:i4>
      </vt:variant>
      <vt:variant>
        <vt:i4>3</vt:i4>
      </vt:variant>
      <vt:variant>
        <vt:i4>0</vt:i4>
      </vt:variant>
      <vt:variant>
        <vt:i4>5</vt:i4>
      </vt:variant>
      <vt:variant>
        <vt:lpwstr>http://www.bis.doc.gov/</vt:lpwstr>
      </vt:variant>
      <vt:variant>
        <vt:lpwstr/>
      </vt:variant>
      <vt:variant>
        <vt:i4>720988</vt:i4>
      </vt:variant>
      <vt:variant>
        <vt:i4>0</vt:i4>
      </vt:variant>
      <vt:variant>
        <vt:i4>0</vt:i4>
      </vt:variant>
      <vt:variant>
        <vt:i4>5</vt:i4>
      </vt:variant>
      <vt:variant>
        <vt:lpwstr>http://www.pmddtc.state.gov/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 Wollin</dc:creator>
  <cp:lastModifiedBy>lroman</cp:lastModifiedBy>
  <cp:revision>3</cp:revision>
  <cp:lastPrinted>2014-07-07T18:32:00Z</cp:lastPrinted>
  <dcterms:created xsi:type="dcterms:W3CDTF">2014-07-23T15:26:00Z</dcterms:created>
  <dcterms:modified xsi:type="dcterms:W3CDTF">2014-07-23T16:11:00Z</dcterms:modified>
</cp:coreProperties>
</file>