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446" w:rsidRDefault="00B656E1">
      <w:r>
        <w:rPr>
          <w:noProof/>
        </w:rPr>
        <w:drawing>
          <wp:inline distT="0" distB="0" distL="0" distR="0">
            <wp:extent cx="5486400" cy="914400"/>
            <wp:effectExtent l="0" t="0" r="0" b="0"/>
            <wp:docPr id="1" name="Picture 1" descr="ICPA Logo - 300 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PA Logo - 300 dpi"/>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86400" cy="914400"/>
                    </a:xfrm>
                    <a:prstGeom prst="rect">
                      <a:avLst/>
                    </a:prstGeom>
                    <a:noFill/>
                    <a:ln>
                      <a:noFill/>
                    </a:ln>
                  </pic:spPr>
                </pic:pic>
              </a:graphicData>
            </a:graphic>
          </wp:inline>
        </w:drawing>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48"/>
        <w:gridCol w:w="6408"/>
      </w:tblGrid>
      <w:tr w:rsidR="00B418E6" w:rsidTr="00534443">
        <w:tc>
          <w:tcPr>
            <w:tcW w:w="2448" w:type="dxa"/>
          </w:tcPr>
          <w:p w:rsidR="00B418E6" w:rsidRDefault="00B418E6">
            <w:r>
              <w:t>Company</w:t>
            </w:r>
          </w:p>
        </w:tc>
        <w:tc>
          <w:tcPr>
            <w:tcW w:w="6408" w:type="dxa"/>
          </w:tcPr>
          <w:p w:rsidR="00B418E6" w:rsidRDefault="00FE6C01">
            <w:r>
              <w:t>Flowserve</w:t>
            </w:r>
          </w:p>
        </w:tc>
      </w:tr>
      <w:tr w:rsidR="00B418E6" w:rsidTr="00534443">
        <w:tc>
          <w:tcPr>
            <w:tcW w:w="2448" w:type="dxa"/>
          </w:tcPr>
          <w:p w:rsidR="00B418E6" w:rsidRDefault="00B418E6">
            <w:r>
              <w:t>Job Title</w:t>
            </w:r>
          </w:p>
        </w:tc>
        <w:tc>
          <w:tcPr>
            <w:tcW w:w="6408" w:type="dxa"/>
          </w:tcPr>
          <w:p w:rsidR="00B418E6" w:rsidRDefault="00FE6C01">
            <w:r>
              <w:rPr>
                <w:rFonts w:ascii="Verdana" w:hAnsi="Verdana" w:cs="Tahoma"/>
                <w:color w:val="333333"/>
                <w:sz w:val="17"/>
                <w:szCs w:val="17"/>
              </w:rPr>
              <w:t>Director of Global Trade Compliance</w:t>
            </w:r>
          </w:p>
        </w:tc>
      </w:tr>
      <w:tr w:rsidR="00B418E6" w:rsidTr="00534443">
        <w:tc>
          <w:tcPr>
            <w:tcW w:w="2448" w:type="dxa"/>
          </w:tcPr>
          <w:p w:rsidR="00B418E6" w:rsidRDefault="00B418E6">
            <w:r>
              <w:t>Location</w:t>
            </w:r>
          </w:p>
        </w:tc>
        <w:tc>
          <w:tcPr>
            <w:tcW w:w="6408" w:type="dxa"/>
          </w:tcPr>
          <w:p w:rsidR="00B418E6" w:rsidRDefault="00FE6C01">
            <w:r>
              <w:t>Irving, TX</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FE6C01">
            <w:r>
              <w:t>Negotiable</w:t>
            </w:r>
          </w:p>
        </w:tc>
      </w:tr>
      <w:tr w:rsidR="00B418E6" w:rsidTr="00534443">
        <w:tc>
          <w:tcPr>
            <w:tcW w:w="2448" w:type="dxa"/>
          </w:tcPr>
          <w:p w:rsidR="00B418E6" w:rsidRDefault="00B418E6">
            <w:r>
              <w:t>Relocation Assistance</w:t>
            </w:r>
          </w:p>
        </w:tc>
        <w:tc>
          <w:tcPr>
            <w:tcW w:w="6408" w:type="dxa"/>
          </w:tcPr>
          <w:p w:rsidR="00B418E6" w:rsidRDefault="00B656E1">
            <w:r>
              <w:t>Yes</w:t>
            </w:r>
          </w:p>
        </w:tc>
      </w:tr>
    </w:tbl>
    <w:p w:rsidR="00D33F69" w:rsidRDefault="00D33F69"/>
    <w:p w:rsidR="00416446" w:rsidRDefault="00416446"/>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D33F69" w:rsidRDefault="00D33F69">
      <w:pPr>
        <w:rPr>
          <w:b/>
          <w:sz w:val="32"/>
          <w:szCs w:val="32"/>
          <w:u w:val="single"/>
        </w:rPr>
      </w:pPr>
    </w:p>
    <w:p w:rsidR="00D33F69" w:rsidRDefault="00D33F69">
      <w:pPr>
        <w:rPr>
          <w:b/>
          <w:sz w:val="32"/>
          <w:szCs w:val="32"/>
          <w:u w:val="single"/>
        </w:rPr>
      </w:pPr>
    </w:p>
    <w:tbl>
      <w:tblPr>
        <w:tblW w:w="0" w:type="auto"/>
        <w:tblCellMar>
          <w:top w:w="15" w:type="dxa"/>
          <w:left w:w="15" w:type="dxa"/>
          <w:bottom w:w="15" w:type="dxa"/>
          <w:right w:w="15" w:type="dxa"/>
        </w:tblCellMar>
        <w:tblLook w:val="04A0" w:firstRow="1" w:lastRow="0" w:firstColumn="1" w:lastColumn="0" w:noHBand="0" w:noVBand="1"/>
      </w:tblPr>
      <w:tblGrid>
        <w:gridCol w:w="1690"/>
      </w:tblGrid>
      <w:tr w:rsidR="00FE6C01" w:rsidTr="00FE6C01">
        <w:tc>
          <w:tcPr>
            <w:tcW w:w="0" w:type="auto"/>
            <w:vAlign w:val="center"/>
            <w:hideMark/>
          </w:tcPr>
          <w:p w:rsidR="00FE6C01" w:rsidRDefault="00FE6C01">
            <w:pPr>
              <w:spacing w:line="360" w:lineRule="atLeast"/>
              <w:rPr>
                <w:rFonts w:ascii="Verdana" w:hAnsi="Verdana" w:cs="Tahoma"/>
                <w:color w:val="333333"/>
                <w:sz w:val="17"/>
                <w:szCs w:val="17"/>
              </w:rPr>
            </w:pPr>
            <w:r>
              <w:rPr>
                <w:rFonts w:ascii="Verdana" w:hAnsi="Verdana" w:cs="Tahoma"/>
                <w:color w:val="333333"/>
                <w:sz w:val="17"/>
                <w:szCs w:val="17"/>
              </w:rPr>
              <w:t>Company Overview</w:t>
            </w:r>
          </w:p>
        </w:tc>
      </w:tr>
    </w:tbl>
    <w:p w:rsidR="00FE6C01" w:rsidRDefault="00FE6C01" w:rsidP="00FE6C01">
      <w:pPr>
        <w:spacing w:line="300" w:lineRule="atLeast"/>
        <w:rPr>
          <w:rStyle w:val="questioninput35"/>
          <w:rFonts w:ascii="Verdana" w:hAnsi="Verdana" w:cs="Tahoma"/>
          <w:vanish/>
          <w:color w:val="333333"/>
          <w:sz w:val="17"/>
          <w:szCs w:val="17"/>
        </w:rPr>
      </w:pPr>
    </w:p>
    <w:tbl>
      <w:tblPr>
        <w:tblW w:w="0" w:type="auto"/>
        <w:tblCellMar>
          <w:top w:w="15" w:type="dxa"/>
          <w:left w:w="15" w:type="dxa"/>
          <w:bottom w:w="15" w:type="dxa"/>
          <w:right w:w="15" w:type="dxa"/>
        </w:tblCellMar>
        <w:tblLook w:val="04A0" w:firstRow="1" w:lastRow="0" w:firstColumn="1" w:lastColumn="0" w:noHBand="0" w:noVBand="1"/>
      </w:tblPr>
      <w:tblGrid>
        <w:gridCol w:w="8670"/>
      </w:tblGrid>
      <w:tr w:rsidR="00FE6C01" w:rsidTr="00FE6C01">
        <w:tc>
          <w:tcPr>
            <w:tcW w:w="0" w:type="auto"/>
            <w:vAlign w:val="center"/>
            <w:hideMark/>
          </w:tcPr>
          <w:p w:rsidR="00FE6C01" w:rsidRDefault="00FE6C01">
            <w:pPr>
              <w:spacing w:line="360" w:lineRule="atLeast"/>
              <w:rPr>
                <w:rFonts w:ascii="Verdana" w:hAnsi="Verdana" w:cs="Tahoma"/>
                <w:color w:val="333333"/>
                <w:sz w:val="17"/>
                <w:szCs w:val="17"/>
              </w:rPr>
            </w:pPr>
            <w:r>
              <w:rPr>
                <w:rFonts w:ascii="Verdana" w:hAnsi="Verdana" w:cs="Tahoma"/>
                <w:color w:val="333333"/>
                <w:sz w:val="17"/>
                <w:szCs w:val="17"/>
              </w:rPr>
              <w:t>Flowserve is the recognized world leader in supplying pumps, valves, seals, automation, and services to the power, oil, gas, chemical, and other industries. With more than 15,000 employees in more than 50 countries, we combine our global reach with a local presence. Join a company with the most comprehensive product lines and broadest applications experience in the world. You'll be part of a team known for its industry-leading talent, unparalleled portfolio and unmatched commitment to customer success. Our culture promotes recognition and rewards creativity, hard work and commitment. We invite you to put your talents and experience in motion with Flowserve. Flowserve is an Equal Opportunity Employer.</w:t>
            </w:r>
          </w:p>
        </w:tc>
      </w:tr>
      <w:tr w:rsidR="00FE6C01" w:rsidTr="00FE6C01">
        <w:tc>
          <w:tcPr>
            <w:tcW w:w="0" w:type="auto"/>
            <w:vAlign w:val="center"/>
            <w:hideMark/>
          </w:tcPr>
          <w:p w:rsidR="00FE6C01" w:rsidRDefault="00FE6C01">
            <w:pPr>
              <w:spacing w:line="360" w:lineRule="atLeast"/>
              <w:rPr>
                <w:rFonts w:ascii="Verdana" w:hAnsi="Verdana" w:cs="Tahoma"/>
                <w:color w:val="333333"/>
                <w:sz w:val="17"/>
                <w:szCs w:val="17"/>
              </w:rPr>
            </w:pPr>
            <w:r>
              <w:rPr>
                <w:rStyle w:val="required1"/>
                <w:rFonts w:ascii="Verdana" w:hAnsi="Verdana" w:cs="Tahoma"/>
                <w:sz w:val="17"/>
                <w:szCs w:val="17"/>
              </w:rPr>
              <w:t>*</w:t>
            </w:r>
            <w:r>
              <w:rPr>
                <w:rFonts w:ascii="Verdana" w:hAnsi="Verdana" w:cs="Tahoma"/>
                <w:color w:val="333333"/>
                <w:sz w:val="17"/>
                <w:szCs w:val="17"/>
              </w:rPr>
              <w:t>Position Description</w:t>
            </w:r>
          </w:p>
        </w:tc>
      </w:tr>
    </w:tbl>
    <w:p w:rsidR="00FE6C01" w:rsidRDefault="00FE6C01" w:rsidP="00FE6C01">
      <w:pPr>
        <w:spacing w:line="300" w:lineRule="atLeast"/>
        <w:rPr>
          <w:rStyle w:val="questioninput35"/>
          <w:rFonts w:ascii="Verdana" w:hAnsi="Verdana" w:cs="Tahoma"/>
          <w:vanish/>
          <w:color w:val="333333"/>
          <w:sz w:val="17"/>
          <w:szCs w:val="17"/>
        </w:rPr>
      </w:pPr>
    </w:p>
    <w:tbl>
      <w:tblPr>
        <w:tblW w:w="0" w:type="auto"/>
        <w:tblCellMar>
          <w:top w:w="15" w:type="dxa"/>
          <w:left w:w="15" w:type="dxa"/>
          <w:bottom w:w="15" w:type="dxa"/>
          <w:right w:w="15" w:type="dxa"/>
        </w:tblCellMar>
        <w:tblLook w:val="04A0" w:firstRow="1" w:lastRow="0" w:firstColumn="1" w:lastColumn="0" w:noHBand="0" w:noVBand="1"/>
      </w:tblPr>
      <w:tblGrid>
        <w:gridCol w:w="8670"/>
      </w:tblGrid>
      <w:tr w:rsidR="00FE6C01" w:rsidTr="00FE6C01">
        <w:tc>
          <w:tcPr>
            <w:tcW w:w="0" w:type="auto"/>
            <w:vAlign w:val="center"/>
            <w:hideMark/>
          </w:tcPr>
          <w:p w:rsidR="00FE6C01" w:rsidRDefault="00FE6C01">
            <w:pPr>
              <w:spacing w:line="360" w:lineRule="atLeast"/>
              <w:rPr>
                <w:rFonts w:ascii="Verdana" w:hAnsi="Verdana" w:cs="Tahoma"/>
                <w:color w:val="333333"/>
                <w:sz w:val="17"/>
                <w:szCs w:val="17"/>
              </w:rPr>
            </w:pPr>
            <w:r>
              <w:rPr>
                <w:rFonts w:ascii="Verdana" w:hAnsi="Verdana" w:cs="Tahoma"/>
                <w:color w:val="333333"/>
                <w:sz w:val="17"/>
                <w:szCs w:val="17"/>
              </w:rPr>
              <w:t xml:space="preserve">The Senior International Trade Counsel/Director of Global Trade Compliance will be based at the Irving HQ and will report directly to the Vice President – Ethics, Compliance &amp; Legal in the Business Integrity &amp; Compliance (BI&amp;C) organization, and will oversee the Company’s Global Trade Compliance functions (anti-bribery, export and import compliance) and will have a number of regionally-based direct and indirect reports. The Director will be responsible for overseeing strategic deployment of global trade compliance program enhancements to sustain and enhance the effectiveness of the Company’s global trade compliance program. The Director will also work closely with the Director of Corporate Inquiries on corporate investigations and global anti-bribery </w:t>
            </w:r>
            <w:r>
              <w:rPr>
                <w:rFonts w:ascii="Verdana" w:hAnsi="Verdana" w:cs="Tahoma"/>
                <w:color w:val="333333"/>
                <w:sz w:val="17"/>
                <w:szCs w:val="17"/>
              </w:rPr>
              <w:lastRenderedPageBreak/>
              <w:t>assessments.</w:t>
            </w:r>
          </w:p>
        </w:tc>
      </w:tr>
    </w:tbl>
    <w:p w:rsidR="00FE6C01" w:rsidRDefault="00FE6C01" w:rsidP="00FE6C01">
      <w:pPr>
        <w:spacing w:line="300" w:lineRule="atLeast"/>
        <w:rPr>
          <w:rStyle w:val="questionlabel1"/>
          <w:rFonts w:ascii="Verdana" w:hAnsi="Verdana" w:cs="Tahoma"/>
          <w:vanish/>
          <w:color w:val="333333"/>
          <w:sz w:val="17"/>
          <w:szCs w:val="17"/>
        </w:rPr>
      </w:pPr>
    </w:p>
    <w:tbl>
      <w:tblPr>
        <w:tblW w:w="0" w:type="auto"/>
        <w:tblCellMar>
          <w:top w:w="15" w:type="dxa"/>
          <w:left w:w="15" w:type="dxa"/>
          <w:bottom w:w="15" w:type="dxa"/>
          <w:right w:w="15" w:type="dxa"/>
        </w:tblCellMar>
        <w:tblLook w:val="04A0" w:firstRow="1" w:lastRow="0" w:firstColumn="1" w:lastColumn="0" w:noHBand="0" w:noVBand="1"/>
      </w:tblPr>
      <w:tblGrid>
        <w:gridCol w:w="1939"/>
      </w:tblGrid>
      <w:tr w:rsidR="00FE6C01" w:rsidTr="00FE6C01">
        <w:tc>
          <w:tcPr>
            <w:tcW w:w="0" w:type="auto"/>
            <w:vAlign w:val="center"/>
            <w:hideMark/>
          </w:tcPr>
          <w:p w:rsidR="00FE6C01" w:rsidRDefault="00FE6C01">
            <w:pPr>
              <w:spacing w:line="360" w:lineRule="atLeast"/>
              <w:rPr>
                <w:rFonts w:ascii="Verdana" w:hAnsi="Verdana" w:cs="Tahoma"/>
                <w:color w:val="333333"/>
                <w:sz w:val="17"/>
                <w:szCs w:val="17"/>
              </w:rPr>
            </w:pPr>
            <w:r>
              <w:rPr>
                <w:rFonts w:ascii="Verdana" w:hAnsi="Verdana" w:cs="Tahoma"/>
                <w:color w:val="333333"/>
                <w:sz w:val="17"/>
                <w:szCs w:val="17"/>
              </w:rPr>
              <w:t>Position Requirements</w:t>
            </w:r>
          </w:p>
        </w:tc>
      </w:tr>
    </w:tbl>
    <w:p w:rsidR="00FE6C01" w:rsidRDefault="00FE6C01" w:rsidP="00FE6C01">
      <w:pPr>
        <w:spacing w:line="300" w:lineRule="atLeast"/>
        <w:rPr>
          <w:rStyle w:val="questioninput35"/>
          <w:rFonts w:ascii="Verdana" w:hAnsi="Verdana" w:cs="Tahoma"/>
          <w:vanish/>
          <w:color w:val="333333"/>
          <w:sz w:val="17"/>
          <w:szCs w:val="17"/>
        </w:rPr>
      </w:pPr>
    </w:p>
    <w:tbl>
      <w:tblPr>
        <w:tblW w:w="0" w:type="auto"/>
        <w:tblCellMar>
          <w:top w:w="15" w:type="dxa"/>
          <w:left w:w="15" w:type="dxa"/>
          <w:bottom w:w="15" w:type="dxa"/>
          <w:right w:w="15" w:type="dxa"/>
        </w:tblCellMar>
        <w:tblLook w:val="04A0" w:firstRow="1" w:lastRow="0" w:firstColumn="1" w:lastColumn="0" w:noHBand="0" w:noVBand="1"/>
      </w:tblPr>
      <w:tblGrid>
        <w:gridCol w:w="8670"/>
      </w:tblGrid>
      <w:tr w:rsidR="00FE6C01" w:rsidTr="00FE6C01">
        <w:tc>
          <w:tcPr>
            <w:tcW w:w="0" w:type="auto"/>
            <w:vAlign w:val="center"/>
            <w:hideMark/>
          </w:tcPr>
          <w:p w:rsidR="00FE6C01" w:rsidRDefault="00FE6C01">
            <w:pPr>
              <w:spacing w:line="360" w:lineRule="atLeast"/>
              <w:rPr>
                <w:rFonts w:ascii="Verdana" w:hAnsi="Verdana" w:cs="Tahoma"/>
                <w:color w:val="333333"/>
                <w:sz w:val="17"/>
                <w:szCs w:val="17"/>
              </w:rPr>
            </w:pPr>
            <w:r>
              <w:rPr>
                <w:rFonts w:ascii="Verdana" w:hAnsi="Verdana" w:cs="Tahoma"/>
                <w:color w:val="333333"/>
                <w:sz w:val="17"/>
                <w:szCs w:val="17"/>
              </w:rPr>
              <w:t>• Legal degree and licensed to practice law in at least one U.S. jurisdiction</w:t>
            </w:r>
            <w:r>
              <w:rPr>
                <w:rFonts w:ascii="Verdana" w:hAnsi="Verdana" w:cs="Tahoma"/>
                <w:color w:val="333333"/>
                <w:sz w:val="17"/>
                <w:szCs w:val="17"/>
              </w:rPr>
              <w:br/>
              <w:t>• 5-10 years of experience in global trade compliance with in-depth understanding of applicable anti-bribery, export, economic sanctions and import laws and regulations.</w:t>
            </w:r>
            <w:r>
              <w:rPr>
                <w:rFonts w:ascii="Verdana" w:hAnsi="Verdana" w:cs="Tahoma"/>
                <w:color w:val="333333"/>
                <w:sz w:val="17"/>
                <w:szCs w:val="17"/>
              </w:rPr>
              <w:br/>
              <w:t xml:space="preserve">• Extensive experience conducting M&amp;A due diligence (pre and </w:t>
            </w:r>
            <w:proofErr w:type="spellStart"/>
            <w:r>
              <w:rPr>
                <w:rFonts w:ascii="Verdana" w:hAnsi="Verdana" w:cs="Tahoma"/>
                <w:color w:val="333333"/>
                <w:sz w:val="17"/>
                <w:szCs w:val="17"/>
              </w:rPr>
              <w:t>post closing</w:t>
            </w:r>
            <w:proofErr w:type="spellEnd"/>
            <w:r>
              <w:rPr>
                <w:rFonts w:ascii="Verdana" w:hAnsi="Verdana" w:cs="Tahoma"/>
                <w:color w:val="333333"/>
                <w:sz w:val="17"/>
                <w:szCs w:val="17"/>
              </w:rPr>
              <w:t xml:space="preserve"> activities)</w:t>
            </w:r>
            <w:r>
              <w:rPr>
                <w:rFonts w:ascii="Verdana" w:hAnsi="Verdana" w:cs="Tahoma"/>
                <w:color w:val="333333"/>
                <w:sz w:val="17"/>
                <w:szCs w:val="17"/>
              </w:rPr>
              <w:br/>
              <w:t>• Demonstrated ability to effectively manage multi-jurisdictional investigations (including scoping, interviewing, etc.) and government inquiries and effectively interact with government regulators</w:t>
            </w:r>
            <w:r>
              <w:rPr>
                <w:rFonts w:ascii="Verdana" w:hAnsi="Verdana" w:cs="Tahoma"/>
                <w:color w:val="333333"/>
                <w:sz w:val="17"/>
                <w:szCs w:val="17"/>
              </w:rPr>
              <w:br/>
              <w:t>• Ability to maintain confidentiality and handle discreet and sensitive matters</w:t>
            </w:r>
            <w:r>
              <w:rPr>
                <w:rFonts w:ascii="Verdana" w:hAnsi="Verdana" w:cs="Tahoma"/>
                <w:color w:val="333333"/>
                <w:sz w:val="17"/>
                <w:szCs w:val="17"/>
              </w:rPr>
              <w:br/>
              <w:t>• Experience working in a large, diverse multinational organization</w:t>
            </w:r>
            <w:r>
              <w:rPr>
                <w:rFonts w:ascii="Verdana" w:hAnsi="Verdana" w:cs="Tahoma"/>
                <w:color w:val="333333"/>
                <w:sz w:val="17"/>
                <w:szCs w:val="17"/>
              </w:rPr>
              <w:br/>
              <w:t>• Demonstrated experience with remotely managing global teams</w:t>
            </w:r>
            <w:r>
              <w:rPr>
                <w:rFonts w:ascii="Verdana" w:hAnsi="Verdana" w:cs="Tahoma"/>
                <w:color w:val="333333"/>
                <w:sz w:val="17"/>
                <w:szCs w:val="17"/>
              </w:rPr>
              <w:br/>
              <w:t>• Assertive personality with strong interpersonal skills, cultural competency and the ability to work as part of a team</w:t>
            </w:r>
            <w:r>
              <w:rPr>
                <w:rFonts w:ascii="Verdana" w:hAnsi="Verdana" w:cs="Tahoma"/>
                <w:color w:val="333333"/>
                <w:sz w:val="17"/>
                <w:szCs w:val="17"/>
              </w:rPr>
              <w:br/>
              <w:t>• Self-starter with ability to work independently in and adapt to fast paced, frequently changing environments (i.e., organizational agility and flexibility) and effective in driving cross-functional projects and change management initiatives</w:t>
            </w:r>
            <w:r>
              <w:rPr>
                <w:rFonts w:ascii="Verdana" w:hAnsi="Verdana" w:cs="Tahoma"/>
                <w:color w:val="333333"/>
                <w:sz w:val="17"/>
                <w:szCs w:val="17"/>
              </w:rPr>
              <w:br/>
              <w:t>• Exceptional execution and strong project management experience including the ability to work efficiently and proactively, prioritize and easily re-prioritize issues and workflows, meet demanding deadlines (including outside normal US business hours), and manage multi-dimensional projects in a fast paced environment</w:t>
            </w:r>
            <w:r>
              <w:rPr>
                <w:rFonts w:ascii="Verdana" w:hAnsi="Verdana" w:cs="Tahoma"/>
                <w:color w:val="333333"/>
                <w:sz w:val="17"/>
                <w:szCs w:val="17"/>
              </w:rPr>
              <w:br/>
              <w:t>• Demonstrated ability to use sound judgment and proven ability to influence without control at all levels within the organization, including the most senior levels of an organization</w:t>
            </w:r>
            <w:r>
              <w:rPr>
                <w:rFonts w:ascii="Verdana" w:hAnsi="Verdana" w:cs="Tahoma"/>
                <w:color w:val="333333"/>
                <w:sz w:val="17"/>
                <w:szCs w:val="17"/>
              </w:rPr>
              <w:br/>
              <w:t>• Excellent writing and communication skills</w:t>
            </w:r>
            <w:r>
              <w:rPr>
                <w:rFonts w:ascii="Verdana" w:hAnsi="Verdana" w:cs="Tahoma"/>
                <w:color w:val="333333"/>
                <w:sz w:val="17"/>
                <w:szCs w:val="17"/>
              </w:rPr>
              <w:br/>
              <w:t>• Highly proficient in Microsoft Office and related products – Word, Excel, PowerPoint, Access and SharePoint</w:t>
            </w:r>
          </w:p>
        </w:tc>
      </w:tr>
      <w:tr w:rsidR="00FE6C01" w:rsidTr="00FE6C01">
        <w:tc>
          <w:tcPr>
            <w:tcW w:w="0" w:type="auto"/>
            <w:vAlign w:val="center"/>
            <w:hideMark/>
          </w:tcPr>
          <w:p w:rsidR="00FE6C01" w:rsidRDefault="00FE6C01">
            <w:pPr>
              <w:spacing w:line="360" w:lineRule="atLeast"/>
              <w:rPr>
                <w:rFonts w:ascii="Verdana" w:hAnsi="Verdana" w:cs="Tahoma"/>
                <w:color w:val="333333"/>
                <w:sz w:val="17"/>
                <w:szCs w:val="17"/>
              </w:rPr>
            </w:pPr>
            <w:r>
              <w:rPr>
                <w:rStyle w:val="required1"/>
                <w:rFonts w:ascii="Verdana" w:hAnsi="Verdana" w:cs="Tahoma"/>
                <w:sz w:val="17"/>
                <w:szCs w:val="17"/>
              </w:rPr>
              <w:t>*</w:t>
            </w:r>
            <w:r>
              <w:rPr>
                <w:rFonts w:ascii="Verdana" w:hAnsi="Verdana" w:cs="Tahoma"/>
                <w:color w:val="333333"/>
                <w:sz w:val="17"/>
                <w:szCs w:val="17"/>
              </w:rPr>
              <w:t>Accountabilities</w:t>
            </w:r>
          </w:p>
        </w:tc>
      </w:tr>
    </w:tbl>
    <w:p w:rsidR="00FE6C01" w:rsidRDefault="00FE6C01" w:rsidP="00FE6C01">
      <w:pPr>
        <w:spacing w:line="300" w:lineRule="atLeast"/>
        <w:rPr>
          <w:rStyle w:val="questioninput35"/>
          <w:rFonts w:ascii="Verdana" w:hAnsi="Verdana" w:cs="Tahoma"/>
          <w:vanish/>
          <w:color w:val="333333"/>
          <w:sz w:val="17"/>
          <w:szCs w:val="17"/>
        </w:rPr>
      </w:pPr>
    </w:p>
    <w:tbl>
      <w:tblPr>
        <w:tblW w:w="0" w:type="auto"/>
        <w:tblCellMar>
          <w:top w:w="15" w:type="dxa"/>
          <w:left w:w="15" w:type="dxa"/>
          <w:bottom w:w="15" w:type="dxa"/>
          <w:right w:w="15" w:type="dxa"/>
        </w:tblCellMar>
        <w:tblLook w:val="04A0" w:firstRow="1" w:lastRow="0" w:firstColumn="1" w:lastColumn="0" w:noHBand="0" w:noVBand="1"/>
      </w:tblPr>
      <w:tblGrid>
        <w:gridCol w:w="8670"/>
      </w:tblGrid>
      <w:tr w:rsidR="00FE6C01" w:rsidTr="00FE6C01">
        <w:tc>
          <w:tcPr>
            <w:tcW w:w="0" w:type="auto"/>
            <w:vAlign w:val="center"/>
            <w:hideMark/>
          </w:tcPr>
          <w:p w:rsidR="00FE6C01" w:rsidRDefault="00FE6C01">
            <w:pPr>
              <w:spacing w:line="360" w:lineRule="atLeast"/>
              <w:rPr>
                <w:rFonts w:ascii="Verdana" w:hAnsi="Verdana" w:cs="Tahoma"/>
                <w:color w:val="333333"/>
                <w:sz w:val="17"/>
                <w:szCs w:val="17"/>
              </w:rPr>
            </w:pPr>
            <w:r>
              <w:rPr>
                <w:rFonts w:ascii="Verdana" w:hAnsi="Verdana" w:cs="Tahoma"/>
                <w:color w:val="333333"/>
                <w:sz w:val="17"/>
                <w:szCs w:val="17"/>
              </w:rPr>
              <w:t xml:space="preserve">• Provide strategic leadership and risk-based direction in sustaining and enhancing the effectiveness of the Company’s global trade compliance program (anti-bribery, export and import). </w:t>
            </w:r>
            <w:r>
              <w:rPr>
                <w:rFonts w:ascii="Verdana" w:hAnsi="Verdana" w:cs="Tahoma"/>
                <w:color w:val="333333"/>
                <w:sz w:val="17"/>
                <w:szCs w:val="17"/>
              </w:rPr>
              <w:br/>
              <w:t xml:space="preserve">• Accountable for overseeing program assessments, driving associated action plans to completion and championing the program throughout the organization. </w:t>
            </w:r>
            <w:r>
              <w:rPr>
                <w:rFonts w:ascii="Verdana" w:hAnsi="Verdana" w:cs="Tahoma"/>
                <w:color w:val="333333"/>
                <w:sz w:val="17"/>
                <w:szCs w:val="17"/>
              </w:rPr>
              <w:br/>
              <w:t xml:space="preserve">• Develop strong business partner relationships, including liaising with global leaders such as Business Platform leaders, Functional leaders (finance, accounting, tax, supply chain, logistics, etc.), Global Operations Counsel and BI&amp;C members. </w:t>
            </w:r>
            <w:r>
              <w:rPr>
                <w:rFonts w:ascii="Verdana" w:hAnsi="Verdana" w:cs="Tahoma"/>
                <w:color w:val="333333"/>
                <w:sz w:val="17"/>
                <w:szCs w:val="17"/>
              </w:rPr>
              <w:br/>
              <w:t>• Provide focused global trade compliance updates to senior leadership and Board, as needed.</w:t>
            </w:r>
            <w:r>
              <w:rPr>
                <w:rFonts w:ascii="Verdana" w:hAnsi="Verdana" w:cs="Tahoma"/>
                <w:color w:val="333333"/>
                <w:sz w:val="17"/>
                <w:szCs w:val="17"/>
              </w:rPr>
              <w:br/>
              <w:t>• Secure senior executive support and oversee development and deployment of enhanced risk-</w:t>
            </w:r>
            <w:r>
              <w:rPr>
                <w:rFonts w:ascii="Verdana" w:hAnsi="Verdana" w:cs="Tahoma"/>
                <w:color w:val="333333"/>
                <w:sz w:val="17"/>
                <w:szCs w:val="17"/>
              </w:rPr>
              <w:lastRenderedPageBreak/>
              <w:t xml:space="preserve">based trade compliance programs </w:t>
            </w:r>
            <w:r>
              <w:rPr>
                <w:rFonts w:ascii="Verdana" w:hAnsi="Verdana" w:cs="Tahoma"/>
                <w:color w:val="333333"/>
                <w:sz w:val="17"/>
                <w:szCs w:val="17"/>
              </w:rPr>
              <w:br/>
              <w:t>• Perform legal analysis and provide operational guidance to global business operations</w:t>
            </w:r>
            <w:r>
              <w:rPr>
                <w:rFonts w:ascii="Verdana" w:hAnsi="Verdana" w:cs="Tahoma"/>
                <w:color w:val="333333"/>
                <w:sz w:val="17"/>
                <w:szCs w:val="17"/>
              </w:rPr>
              <w:br/>
              <w:t xml:space="preserve">• Provide legal counsel to the trade compliance team to reduce reliance on outside counsel. </w:t>
            </w:r>
            <w:r>
              <w:rPr>
                <w:rFonts w:ascii="Verdana" w:hAnsi="Verdana" w:cs="Tahoma"/>
                <w:color w:val="333333"/>
                <w:sz w:val="17"/>
                <w:szCs w:val="17"/>
              </w:rPr>
              <w:br/>
              <w:t>• Interface with government regulators world-wide to resolve regulatory audits and inquiries, enhance relationships and promote legislative change</w:t>
            </w:r>
            <w:r>
              <w:rPr>
                <w:rFonts w:ascii="Verdana" w:hAnsi="Verdana" w:cs="Tahoma"/>
                <w:color w:val="333333"/>
                <w:sz w:val="17"/>
                <w:szCs w:val="17"/>
              </w:rPr>
              <w:br/>
              <w:t>• Oversee the establishment, implementation, and monitoring of appropriate metrics and compliance reports against which the Company can measure the effectiveness and continuous improvement of its global trade compliance program.</w:t>
            </w:r>
            <w:r>
              <w:rPr>
                <w:rFonts w:ascii="Verdana" w:hAnsi="Verdana" w:cs="Tahoma"/>
                <w:color w:val="333333"/>
                <w:sz w:val="17"/>
                <w:szCs w:val="17"/>
              </w:rPr>
              <w:br/>
              <w:t>• Effectively manage global budget for anti-bribery compliance and oversee budget for import and export compliance</w:t>
            </w:r>
            <w:r>
              <w:rPr>
                <w:rFonts w:ascii="Verdana" w:hAnsi="Verdana" w:cs="Tahoma"/>
                <w:color w:val="333333"/>
                <w:sz w:val="17"/>
                <w:szCs w:val="17"/>
              </w:rPr>
              <w:br/>
              <w:t xml:space="preserve">• Oversee trade compliance program for global Joint Venture relationships and pre and </w:t>
            </w:r>
            <w:proofErr w:type="spellStart"/>
            <w:r>
              <w:rPr>
                <w:rFonts w:ascii="Verdana" w:hAnsi="Verdana" w:cs="Tahoma"/>
                <w:color w:val="333333"/>
                <w:sz w:val="17"/>
                <w:szCs w:val="17"/>
              </w:rPr>
              <w:t>post acquisition</w:t>
            </w:r>
            <w:proofErr w:type="spellEnd"/>
            <w:r>
              <w:rPr>
                <w:rFonts w:ascii="Verdana" w:hAnsi="Verdana" w:cs="Tahoma"/>
                <w:color w:val="333333"/>
                <w:sz w:val="17"/>
                <w:szCs w:val="17"/>
              </w:rPr>
              <w:t xml:space="preserve"> due diligence for M&amp;A activity</w:t>
            </w:r>
            <w:r>
              <w:rPr>
                <w:rFonts w:ascii="Verdana" w:hAnsi="Verdana" w:cs="Tahoma"/>
                <w:color w:val="333333"/>
                <w:sz w:val="17"/>
                <w:szCs w:val="17"/>
              </w:rPr>
              <w:br/>
              <w:t>• Collaborate with the Corporate Inquiries and E&amp;C Directors regarding risk assessments, mitigation and remediation efforts</w:t>
            </w:r>
            <w:r>
              <w:rPr>
                <w:rFonts w:ascii="Verdana" w:hAnsi="Verdana" w:cs="Tahoma"/>
                <w:color w:val="333333"/>
                <w:sz w:val="17"/>
                <w:szCs w:val="17"/>
              </w:rPr>
              <w:br/>
              <w:t>• Participate in quarterly anti-bribery assessments, leading interviews, performing legal analysis/oversight and driving completion of report and improvement plans.</w:t>
            </w:r>
            <w:r>
              <w:rPr>
                <w:rFonts w:ascii="Verdana" w:hAnsi="Verdana" w:cs="Tahoma"/>
                <w:color w:val="333333"/>
                <w:sz w:val="17"/>
                <w:szCs w:val="17"/>
              </w:rPr>
              <w:br/>
              <w:t>• Direct and control certain investigations related to fraud, corruption, bribery and ethics hotline allegations and provide legal counsel and oversight to corporate investigations.</w:t>
            </w:r>
          </w:p>
        </w:tc>
      </w:tr>
    </w:tbl>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rsidP="0095166A">
      <w:pPr>
        <w:outlineLvl w:val="0"/>
        <w:rPr>
          <w:b/>
          <w:sz w:val="32"/>
          <w:szCs w:val="32"/>
          <w:u w:val="single"/>
        </w:rPr>
      </w:pPr>
      <w:bookmarkStart w:id="0" w:name="_GoBack"/>
      <w:bookmarkEnd w:id="0"/>
      <w:r>
        <w:rPr>
          <w:b/>
          <w:sz w:val="32"/>
          <w:szCs w:val="32"/>
          <w:u w:val="single"/>
        </w:rPr>
        <w:t>Contact Information</w:t>
      </w:r>
      <w:r w:rsidR="007E0737">
        <w:rPr>
          <w:b/>
          <w:sz w:val="32"/>
          <w:szCs w:val="32"/>
          <w:u w:val="single"/>
        </w:rPr>
        <w:t xml:space="preserve"> to Apply</w:t>
      </w:r>
    </w:p>
    <w:p w:rsidR="00D33F69" w:rsidRDefault="00D33F69">
      <w:pPr>
        <w:rPr>
          <w:b/>
          <w:sz w:val="32"/>
          <w:szCs w:val="32"/>
          <w:u w:val="single"/>
        </w:rPr>
      </w:pPr>
    </w:p>
    <w:p w:rsidR="00D81DAD" w:rsidRPr="00D81DAD" w:rsidRDefault="00D81DAD" w:rsidP="00D81DAD">
      <w:pPr>
        <w:spacing w:after="200" w:line="276" w:lineRule="auto"/>
        <w:rPr>
          <w:rFonts w:asciiTheme="minorHAnsi" w:eastAsiaTheme="minorHAnsi" w:hAnsiTheme="minorHAnsi" w:cstheme="minorBidi"/>
          <w:color w:val="0000FF" w:themeColor="hyperlink"/>
          <w:sz w:val="22"/>
          <w:szCs w:val="22"/>
          <w:u w:val="single"/>
        </w:rPr>
      </w:pPr>
      <w:hyperlink r:id="rId6" w:history="1">
        <w:r w:rsidRPr="00D81DAD">
          <w:rPr>
            <w:rFonts w:asciiTheme="minorHAnsi" w:eastAsiaTheme="minorHAnsi" w:hAnsiTheme="minorHAnsi" w:cstheme="minorBidi"/>
            <w:color w:val="0000FF" w:themeColor="hyperlink"/>
            <w:sz w:val="22"/>
            <w:szCs w:val="22"/>
            <w:u w:val="single"/>
          </w:rPr>
          <w:t>http://jobs.brassring.com/1033/ASP/TG/cim_jobdetail.asp?partnerid=25268&amp;siteid=5275&amp;Areq=27034BR</w:t>
        </w:r>
      </w:hyperlink>
    </w:p>
    <w:p w:rsidR="00D33F69" w:rsidRPr="00D33F69" w:rsidRDefault="00D33F69">
      <w:pPr>
        <w:rPr>
          <w:b/>
          <w:sz w:val="32"/>
          <w:szCs w:val="32"/>
          <w:u w:val="single"/>
        </w:rPr>
      </w:pPr>
    </w:p>
    <w:sectPr w:rsidR="00D33F69" w:rsidRPr="00D33F69"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C01"/>
    <w:rsid w:val="000B5F0C"/>
    <w:rsid w:val="003C3FF7"/>
    <w:rsid w:val="00416446"/>
    <w:rsid w:val="00534443"/>
    <w:rsid w:val="007E0737"/>
    <w:rsid w:val="0095166A"/>
    <w:rsid w:val="00B418E6"/>
    <w:rsid w:val="00B656E1"/>
    <w:rsid w:val="00D33F69"/>
    <w:rsid w:val="00D81DAD"/>
    <w:rsid w:val="00FE6C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customStyle="1" w:styleId="questionlabel1">
    <w:name w:val="questionlabel1"/>
    <w:rsid w:val="00FE6C01"/>
    <w:rPr>
      <w:b/>
      <w:bCs/>
    </w:rPr>
  </w:style>
  <w:style w:type="character" w:customStyle="1" w:styleId="questioninput35">
    <w:name w:val="questioninput35"/>
    <w:rsid w:val="00FE6C01"/>
  </w:style>
  <w:style w:type="character" w:customStyle="1" w:styleId="required1">
    <w:name w:val="required1"/>
    <w:rsid w:val="00FE6C01"/>
    <w:rPr>
      <w:b/>
      <w:bCs/>
      <w:color w:val="FF0000"/>
    </w:rPr>
  </w:style>
  <w:style w:type="paragraph" w:styleId="BalloonText">
    <w:name w:val="Balloon Text"/>
    <w:basedOn w:val="Normal"/>
    <w:link w:val="BalloonTextChar"/>
    <w:rsid w:val="00D81DAD"/>
    <w:rPr>
      <w:rFonts w:ascii="Tahoma" w:hAnsi="Tahoma" w:cs="Tahoma"/>
      <w:sz w:val="16"/>
      <w:szCs w:val="16"/>
    </w:rPr>
  </w:style>
  <w:style w:type="character" w:customStyle="1" w:styleId="BalloonTextChar">
    <w:name w:val="Balloon Text Char"/>
    <w:basedOn w:val="DefaultParagraphFont"/>
    <w:link w:val="BalloonText"/>
    <w:rsid w:val="00D81DA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customStyle="1" w:styleId="questionlabel1">
    <w:name w:val="questionlabel1"/>
    <w:rsid w:val="00FE6C01"/>
    <w:rPr>
      <w:b/>
      <w:bCs/>
    </w:rPr>
  </w:style>
  <w:style w:type="character" w:customStyle="1" w:styleId="questioninput35">
    <w:name w:val="questioninput35"/>
    <w:rsid w:val="00FE6C01"/>
  </w:style>
  <w:style w:type="character" w:customStyle="1" w:styleId="required1">
    <w:name w:val="required1"/>
    <w:rsid w:val="00FE6C01"/>
    <w:rPr>
      <w:b/>
      <w:bCs/>
      <w:color w:val="FF0000"/>
    </w:rPr>
  </w:style>
  <w:style w:type="paragraph" w:styleId="BalloonText">
    <w:name w:val="Balloon Text"/>
    <w:basedOn w:val="Normal"/>
    <w:link w:val="BalloonTextChar"/>
    <w:rsid w:val="00D81DAD"/>
    <w:rPr>
      <w:rFonts w:ascii="Tahoma" w:hAnsi="Tahoma" w:cs="Tahoma"/>
      <w:sz w:val="16"/>
      <w:szCs w:val="16"/>
    </w:rPr>
  </w:style>
  <w:style w:type="character" w:customStyle="1" w:styleId="BalloonTextChar">
    <w:name w:val="Balloon Text Char"/>
    <w:basedOn w:val="DefaultParagraphFont"/>
    <w:link w:val="BalloonText"/>
    <w:rsid w:val="00D81D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474370">
      <w:bodyDiv w:val="1"/>
      <w:marLeft w:val="0"/>
      <w:marRight w:val="0"/>
      <w:marTop w:val="0"/>
      <w:marBottom w:val="0"/>
      <w:divBdr>
        <w:top w:val="none" w:sz="0" w:space="0" w:color="333333"/>
        <w:left w:val="none" w:sz="0" w:space="0" w:color="333333"/>
        <w:bottom w:val="none" w:sz="0" w:space="0" w:color="333333"/>
        <w:right w:val="none" w:sz="0" w:space="0" w:color="333333"/>
      </w:divBdr>
      <w:divsChild>
        <w:div w:id="1203178487">
          <w:marLeft w:val="0"/>
          <w:marRight w:val="0"/>
          <w:marTop w:val="0"/>
          <w:marBottom w:val="0"/>
          <w:divBdr>
            <w:top w:val="none" w:sz="0" w:space="0" w:color="auto"/>
            <w:left w:val="none" w:sz="0" w:space="0" w:color="auto"/>
            <w:bottom w:val="none" w:sz="0" w:space="0" w:color="auto"/>
            <w:right w:val="none" w:sz="0" w:space="0" w:color="auto"/>
          </w:divBdr>
          <w:divsChild>
            <w:div w:id="1806973020">
              <w:marLeft w:val="0"/>
              <w:marRight w:val="0"/>
              <w:marTop w:val="0"/>
              <w:marBottom w:val="0"/>
              <w:divBdr>
                <w:top w:val="none" w:sz="0" w:space="0" w:color="auto"/>
                <w:left w:val="none" w:sz="0" w:space="0" w:color="auto"/>
                <w:bottom w:val="none" w:sz="0" w:space="0" w:color="auto"/>
                <w:right w:val="none" w:sz="0" w:space="0" w:color="auto"/>
              </w:divBdr>
              <w:divsChild>
                <w:div w:id="1794059513">
                  <w:marLeft w:val="0"/>
                  <w:marRight w:val="0"/>
                  <w:marTop w:val="0"/>
                  <w:marBottom w:val="0"/>
                  <w:divBdr>
                    <w:top w:val="none" w:sz="0" w:space="0" w:color="auto"/>
                    <w:left w:val="none" w:sz="0" w:space="0" w:color="auto"/>
                    <w:bottom w:val="none" w:sz="0" w:space="0" w:color="auto"/>
                    <w:right w:val="none" w:sz="0" w:space="0" w:color="auto"/>
                  </w:divBdr>
                  <w:divsChild>
                    <w:div w:id="919103064">
                      <w:marLeft w:val="0"/>
                      <w:marRight w:val="0"/>
                      <w:marTop w:val="0"/>
                      <w:marBottom w:val="0"/>
                      <w:divBdr>
                        <w:top w:val="none" w:sz="0" w:space="0" w:color="auto"/>
                        <w:left w:val="none" w:sz="0" w:space="0" w:color="auto"/>
                        <w:bottom w:val="none" w:sz="0" w:space="0" w:color="auto"/>
                        <w:right w:val="none" w:sz="0" w:space="0" w:color="auto"/>
                      </w:divBdr>
                      <w:divsChild>
                        <w:div w:id="2049450051">
                          <w:marLeft w:val="0"/>
                          <w:marRight w:val="0"/>
                          <w:marTop w:val="0"/>
                          <w:marBottom w:val="0"/>
                          <w:divBdr>
                            <w:top w:val="none" w:sz="0" w:space="0" w:color="auto"/>
                            <w:left w:val="none" w:sz="0" w:space="0" w:color="auto"/>
                            <w:bottom w:val="none" w:sz="0" w:space="0" w:color="auto"/>
                            <w:right w:val="none" w:sz="0" w:space="0" w:color="auto"/>
                          </w:divBdr>
                          <w:divsChild>
                            <w:div w:id="1394698197">
                              <w:marLeft w:val="0"/>
                              <w:marRight w:val="0"/>
                              <w:marTop w:val="0"/>
                              <w:marBottom w:val="0"/>
                              <w:divBdr>
                                <w:top w:val="none" w:sz="0" w:space="0" w:color="auto"/>
                                <w:left w:val="none" w:sz="0" w:space="0" w:color="auto"/>
                                <w:bottom w:val="none" w:sz="0" w:space="0" w:color="auto"/>
                                <w:right w:val="none" w:sz="0" w:space="0" w:color="auto"/>
                              </w:divBdr>
                              <w:divsChild>
                                <w:div w:id="1143040576">
                                  <w:marLeft w:val="0"/>
                                  <w:marRight w:val="0"/>
                                  <w:marTop w:val="0"/>
                                  <w:marBottom w:val="0"/>
                                  <w:divBdr>
                                    <w:top w:val="none" w:sz="0" w:space="0" w:color="auto"/>
                                    <w:left w:val="none" w:sz="0" w:space="0" w:color="auto"/>
                                    <w:bottom w:val="none" w:sz="0" w:space="0" w:color="auto"/>
                                    <w:right w:val="none" w:sz="0" w:space="0" w:color="auto"/>
                                  </w:divBdr>
                                  <w:divsChild>
                                    <w:div w:id="756944284">
                                      <w:marLeft w:val="0"/>
                                      <w:marRight w:val="0"/>
                                      <w:marTop w:val="0"/>
                                      <w:marBottom w:val="0"/>
                                      <w:divBdr>
                                        <w:top w:val="none" w:sz="0" w:space="0" w:color="333333"/>
                                        <w:left w:val="none" w:sz="0" w:space="0" w:color="333333"/>
                                        <w:bottom w:val="none" w:sz="0" w:space="0" w:color="333333"/>
                                        <w:right w:val="none" w:sz="0" w:space="0" w:color="333333"/>
                                      </w:divBdr>
                                    </w:div>
                                    <w:div w:id="824277110">
                                      <w:marLeft w:val="0"/>
                                      <w:marRight w:val="0"/>
                                      <w:marTop w:val="0"/>
                                      <w:marBottom w:val="0"/>
                                      <w:divBdr>
                                        <w:top w:val="none" w:sz="0" w:space="0" w:color="333333"/>
                                        <w:left w:val="none" w:sz="0" w:space="0" w:color="333333"/>
                                        <w:bottom w:val="none" w:sz="0" w:space="0" w:color="333333"/>
                                        <w:right w:val="none" w:sz="0" w:space="0" w:color="333333"/>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jobs.brassring.com/1033/ASP/TG/cim_jobdetail.asp?partnerid=25268&amp;siteid=5275&amp;Areq=27034BR" TargetMode="Externa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BM_AD~1\AppData\Local\Temp\notes32C5CD\ICPA_Job_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ICPA_Job_Form.dot</Template>
  <TotalTime>14</TotalTime>
  <Pages>3</Pages>
  <Words>877</Words>
  <Characters>5003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5869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ADMINIBM</dc:creator>
  <cp:lastModifiedBy>ADMINIBM</cp:lastModifiedBy>
  <cp:revision>2</cp:revision>
  <dcterms:created xsi:type="dcterms:W3CDTF">2014-06-27T20:28:00Z</dcterms:created>
  <dcterms:modified xsi:type="dcterms:W3CDTF">2014-06-27T20:47:00Z</dcterms:modified>
</cp:coreProperties>
</file>