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F6" w:rsidRDefault="007160F6">
      <w:bookmarkStart w:id="0" w:name="_GoBack"/>
      <w:bookmarkEnd w:id="0"/>
    </w:p>
    <w:p w:rsidR="00692E71" w:rsidRDefault="00692E71">
      <w:r w:rsidRPr="00692E71">
        <w:rPr>
          <w:b/>
        </w:rPr>
        <w:t xml:space="preserve">Apply online at: </w:t>
      </w:r>
      <w:hyperlink r:id="rId6" w:history="1">
        <w:r w:rsidRPr="00AD244F">
          <w:rPr>
            <w:rStyle w:val="Hyperlink"/>
          </w:rPr>
          <w:t>https://ch.tbe.taleo.net/CH15/ats/careers/requisition.jsp?org=NATILIFE&amp;cws=1&amp;rid=397</w:t>
        </w:r>
      </w:hyperlink>
    </w:p>
    <w:p w:rsidR="00692E71" w:rsidRDefault="00692E71"/>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52"/>
        <w:gridCol w:w="8568"/>
      </w:tblGrid>
      <w:tr w:rsidR="00692E71" w:rsidRPr="00692E71" w:rsidTr="00692E71">
        <w:trPr>
          <w:tblCellSpacing w:w="0" w:type="dxa"/>
        </w:trPr>
        <w:tc>
          <w:tcPr>
            <w:tcW w:w="0" w:type="auto"/>
            <w:gridSpan w:val="2"/>
            <w:vAlign w:val="center"/>
            <w:hideMark/>
          </w:tcPr>
          <w:p w:rsidR="00692E71" w:rsidRPr="00692E71" w:rsidRDefault="00692E71" w:rsidP="00692E71">
            <w:pPr>
              <w:spacing w:after="0" w:line="240" w:lineRule="auto"/>
              <w:outlineLvl w:val="0"/>
              <w:rPr>
                <w:rFonts w:ascii="inherit" w:eastAsia="Times New Roman" w:hAnsi="inherit" w:cs="Arial"/>
                <w:b/>
                <w:bCs/>
                <w:color w:val="3D9B35"/>
                <w:kern w:val="36"/>
                <w:sz w:val="27"/>
                <w:szCs w:val="27"/>
              </w:rPr>
            </w:pPr>
            <w:r w:rsidRPr="00692E71">
              <w:rPr>
                <w:rFonts w:ascii="inherit" w:eastAsia="Times New Roman" w:hAnsi="inherit" w:cs="Arial"/>
                <w:b/>
                <w:bCs/>
                <w:color w:val="3D9B35"/>
                <w:kern w:val="36"/>
                <w:sz w:val="27"/>
                <w:szCs w:val="27"/>
              </w:rPr>
              <w:t>Director Annuity Suitability Review</w:t>
            </w:r>
          </w:p>
        </w:tc>
      </w:tr>
      <w:tr w:rsidR="00692E71" w:rsidRPr="00692E71" w:rsidTr="00692E71">
        <w:trPr>
          <w:tblCellSpacing w:w="0" w:type="dxa"/>
        </w:trPr>
        <w:tc>
          <w:tcPr>
            <w:tcW w:w="0" w:type="auto"/>
            <w:vAlign w:val="center"/>
            <w:hideMark/>
          </w:tcPr>
          <w:p w:rsidR="00692E71" w:rsidRPr="00692E71" w:rsidRDefault="00692E71" w:rsidP="00692E71">
            <w:pPr>
              <w:spacing w:after="0" w:line="240" w:lineRule="auto"/>
              <w:rPr>
                <w:rFonts w:ascii="Verdana" w:eastAsia="Times New Roman" w:hAnsi="Verdana" w:cs="Arial"/>
                <w:sz w:val="17"/>
                <w:szCs w:val="17"/>
              </w:rPr>
            </w:pPr>
            <w:r w:rsidRPr="00692E71">
              <w:rPr>
                <w:rFonts w:ascii="Verdana" w:eastAsia="Times New Roman" w:hAnsi="Verdana" w:cs="Arial"/>
                <w:sz w:val="17"/>
                <w:szCs w:val="17"/>
              </w:rPr>
              <w:t>Location:</w:t>
            </w:r>
          </w:p>
        </w:tc>
        <w:tc>
          <w:tcPr>
            <w:tcW w:w="5000" w:type="pct"/>
            <w:vAlign w:val="center"/>
            <w:hideMark/>
          </w:tcPr>
          <w:p w:rsidR="00692E71" w:rsidRPr="00692E71" w:rsidRDefault="00692E71" w:rsidP="00692E71">
            <w:pPr>
              <w:spacing w:after="0" w:line="240" w:lineRule="auto"/>
              <w:rPr>
                <w:rFonts w:ascii="Verdana" w:eastAsia="Times New Roman" w:hAnsi="Verdana" w:cs="Arial"/>
                <w:sz w:val="17"/>
                <w:szCs w:val="17"/>
              </w:rPr>
            </w:pPr>
            <w:r w:rsidRPr="00692E71">
              <w:rPr>
                <w:rFonts w:ascii="Verdana" w:eastAsia="Times New Roman" w:hAnsi="Verdana" w:cs="Arial"/>
                <w:b/>
                <w:bCs/>
                <w:sz w:val="17"/>
                <w:szCs w:val="17"/>
              </w:rPr>
              <w:t>TX - Addison</w:t>
            </w:r>
          </w:p>
        </w:tc>
      </w:tr>
      <w:tr w:rsidR="00692E71" w:rsidRPr="00692E71" w:rsidTr="00692E71">
        <w:trPr>
          <w:tblCellSpacing w:w="0" w:type="dxa"/>
        </w:trPr>
        <w:tc>
          <w:tcPr>
            <w:tcW w:w="0" w:type="auto"/>
            <w:vAlign w:val="center"/>
            <w:hideMark/>
          </w:tcPr>
          <w:p w:rsidR="00692E71" w:rsidRPr="00692E71" w:rsidRDefault="00692E71" w:rsidP="00692E71">
            <w:pPr>
              <w:spacing w:after="0" w:line="240" w:lineRule="auto"/>
              <w:rPr>
                <w:rFonts w:ascii="Verdana" w:eastAsia="Times New Roman" w:hAnsi="Verdana" w:cs="Arial"/>
                <w:sz w:val="17"/>
                <w:szCs w:val="17"/>
              </w:rPr>
            </w:pPr>
          </w:p>
        </w:tc>
        <w:tc>
          <w:tcPr>
            <w:tcW w:w="0" w:type="auto"/>
            <w:vAlign w:val="center"/>
            <w:hideMark/>
          </w:tcPr>
          <w:p w:rsidR="00692E71" w:rsidRPr="00692E71" w:rsidRDefault="00692E71" w:rsidP="00692E71">
            <w:pPr>
              <w:spacing w:after="0" w:line="240" w:lineRule="auto"/>
              <w:rPr>
                <w:rFonts w:ascii="Times New Roman" w:eastAsia="Times New Roman" w:hAnsi="Times New Roman" w:cs="Times New Roman"/>
                <w:sz w:val="20"/>
                <w:szCs w:val="20"/>
              </w:rPr>
            </w:pPr>
          </w:p>
        </w:tc>
      </w:tr>
      <w:tr w:rsidR="00692E71" w:rsidRPr="00692E71" w:rsidTr="00692E71">
        <w:trPr>
          <w:tblCellSpacing w:w="0" w:type="dxa"/>
        </w:trPr>
        <w:tc>
          <w:tcPr>
            <w:tcW w:w="0" w:type="auto"/>
            <w:gridSpan w:val="2"/>
            <w:vAlign w:val="center"/>
            <w:hideMark/>
          </w:tcPr>
          <w:p w:rsidR="00692E71" w:rsidRPr="00692E71" w:rsidRDefault="00692E71" w:rsidP="00692E71">
            <w:pPr>
              <w:spacing w:after="0" w:line="240" w:lineRule="auto"/>
              <w:rPr>
                <w:rFonts w:ascii="Verdana" w:eastAsia="Times New Roman" w:hAnsi="Verdana" w:cs="Arial"/>
                <w:sz w:val="17"/>
                <w:szCs w:val="17"/>
              </w:rPr>
            </w:pPr>
            <w:r w:rsidRPr="00692E71">
              <w:rPr>
                <w:rFonts w:ascii="Verdana" w:eastAsia="Times New Roman" w:hAnsi="Verdana" w:cs="Arial"/>
                <w:sz w:val="17"/>
                <w:szCs w:val="17"/>
              </w:rPr>
              <w:pict>
                <v:rect id="_x0000_i1025" style="width:468pt;height:.75pt" o:hralign="center" o:hrstd="t" o:hrnoshade="t" o:hr="t" fillcolor="#dce0df" stroked="f"/>
              </w:pict>
            </w:r>
          </w:p>
        </w:tc>
      </w:tr>
      <w:tr w:rsidR="00692E71" w:rsidRPr="00692E71" w:rsidTr="00692E71">
        <w:trPr>
          <w:tblCellSpacing w:w="0" w:type="dxa"/>
        </w:trPr>
        <w:tc>
          <w:tcPr>
            <w:tcW w:w="0" w:type="auto"/>
            <w:gridSpan w:val="2"/>
            <w:vAlign w:val="center"/>
            <w:hideMark/>
          </w:tcPr>
          <w:p w:rsidR="00692E71" w:rsidRPr="00692E71" w:rsidRDefault="00692E71" w:rsidP="00692E71">
            <w:pPr>
              <w:spacing w:after="0" w:line="240" w:lineRule="auto"/>
              <w:outlineLvl w:val="0"/>
              <w:rPr>
                <w:rFonts w:ascii="inherit" w:eastAsia="Times New Roman" w:hAnsi="inherit" w:cs="Arial"/>
                <w:b/>
                <w:bCs/>
                <w:color w:val="3D9B35"/>
                <w:kern w:val="36"/>
                <w:sz w:val="27"/>
                <w:szCs w:val="27"/>
              </w:rPr>
            </w:pPr>
            <w:r w:rsidRPr="00692E71">
              <w:rPr>
                <w:rFonts w:ascii="inherit" w:eastAsia="Times New Roman" w:hAnsi="inherit" w:cs="Arial"/>
                <w:b/>
                <w:bCs/>
                <w:color w:val="3D9B35"/>
                <w:kern w:val="36"/>
                <w:sz w:val="27"/>
                <w:szCs w:val="27"/>
              </w:rPr>
              <w:t>Description</w:t>
            </w:r>
          </w:p>
        </w:tc>
      </w:tr>
      <w:tr w:rsidR="00692E71" w:rsidRPr="00692E71" w:rsidTr="00692E71">
        <w:trPr>
          <w:tblCellSpacing w:w="0" w:type="dxa"/>
        </w:trPr>
        <w:tc>
          <w:tcPr>
            <w:tcW w:w="0" w:type="auto"/>
            <w:gridSpan w:val="2"/>
            <w:vAlign w:val="center"/>
            <w:hideMark/>
          </w:tcPr>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b/>
                <w:bCs/>
                <w:sz w:val="20"/>
                <w:szCs w:val="20"/>
              </w:rPr>
              <w:t>Director – Annuity Suitability Review</w:t>
            </w:r>
          </w:p>
          <w:p w:rsidR="00692E71" w:rsidRPr="00692E71" w:rsidRDefault="00692E71" w:rsidP="00692E71">
            <w:pPr>
              <w:spacing w:after="0" w:line="240" w:lineRule="auto"/>
              <w:rPr>
                <w:rFonts w:ascii="Verdana" w:eastAsia="Times New Roman" w:hAnsi="Verdana" w:cs="Arial"/>
                <w:sz w:val="17"/>
                <w:szCs w:val="17"/>
              </w:rPr>
            </w:pPr>
            <w:r w:rsidRPr="00692E71">
              <w:rPr>
                <w:rFonts w:ascii="Calibri" w:eastAsia="Times New Roman" w:hAnsi="Calibri" w:cs="Calibri"/>
                <w:sz w:val="27"/>
                <w:szCs w:val="27"/>
              </w:rPr>
              <w:t xml:space="preserve">(Located in Vermont or Texas) </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b/>
                <w:bCs/>
                <w:sz w:val="20"/>
                <w:szCs w:val="20"/>
                <w:u w:val="single"/>
              </w:rPr>
              <w:t xml:space="preserve">Summary </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sz w:val="20"/>
                <w:szCs w:val="20"/>
              </w:rPr>
              <w:t>The individual in this position will be mainly responsible for reviewing the suitability of fixed annuity products and assist in the management of the annuity suitability review area. The incumbent will also assist in handling regulatory investigations, complaints and email monitoring.</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b/>
                <w:bCs/>
                <w:sz w:val="20"/>
                <w:szCs w:val="20"/>
                <w:u w:val="single"/>
              </w:rPr>
              <w:t>Key Responsibilities:</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Assists in the management of the annuity suitability review process by working regularly with individuals in the New Business department, agents and senior management with respect to suitability issues.</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 xml:space="preserve">Handles complaint resolution for life and annuity products in accordance with established procedure. </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 xml:space="preserve">Conducts initial review of annuity applications and suitability forms and rejects sales deemed inappropriate. </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Manage the resolution of suitability concerns if issues arise after the initial annuity review.</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Conduct posts sale review of annuities sold.</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Assists in managing and executing policies and procedures that have been developed to facilitate compliance with laws and regulations.</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Compiles metrics for reporting.</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Manage form and procedural updates.</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Review correspondence from Registered Representatives of ESI flagged by email monitoring system; thus forwarding any emails that violate rules established in the Written Supervisory Procedures to ESI management.</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Accepts and completes projects and other miscellaneous Market Conduct &amp; Compliance duties as assigned.</w:t>
            </w:r>
          </w:p>
          <w:p w:rsidR="00692E71" w:rsidRPr="00692E71" w:rsidRDefault="00692E71" w:rsidP="00692E71">
            <w:pPr>
              <w:numPr>
                <w:ilvl w:val="0"/>
                <w:numId w:val="1"/>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Conducts research on matters related to the Special Investigations Unit, providing</w:t>
            </w:r>
            <w:r w:rsidRPr="00692E71">
              <w:rPr>
                <w:rFonts w:ascii="Verdana" w:eastAsia="Times New Roman" w:hAnsi="Verdana" w:cs="Arial"/>
                <w:sz w:val="17"/>
                <w:szCs w:val="17"/>
              </w:rPr>
              <w:t xml:space="preserve"> </w:t>
            </w:r>
            <w:r w:rsidRPr="00692E71">
              <w:rPr>
                <w:rFonts w:ascii="Trebuchet MS" w:eastAsia="Times New Roman" w:hAnsi="Trebuchet MS" w:cs="Arial"/>
                <w:sz w:val="20"/>
                <w:szCs w:val="20"/>
              </w:rPr>
              <w:t>thorough and accurate research and analysis for fraud cases and State Market Conduct examinations.</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b/>
                <w:bCs/>
                <w:sz w:val="20"/>
                <w:szCs w:val="20"/>
                <w:u w:val="single"/>
              </w:rPr>
              <w:t>Job Requirements</w:t>
            </w:r>
          </w:p>
          <w:p w:rsidR="00692E71" w:rsidRPr="00692E71" w:rsidRDefault="00692E71" w:rsidP="00692E71">
            <w:pPr>
              <w:numPr>
                <w:ilvl w:val="0"/>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The requirements for this position would include a minimum of 5 to 7 years of experience in the following:</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Proven management ability to work effectively with business areas and senior management.</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 xml:space="preserve">Compliance, handling annuity suitability reviews. Ideal candidate will possess additional compliance-related experience in handling regulatory matters. </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Bachelor's degree in related field.</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Report organization through excel database management.</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t>In depth knowledge of securities and insurance products. Prefer knowledge of 403(b) and 457</w:t>
            </w:r>
          </w:p>
          <w:p w:rsidR="00692E71" w:rsidRPr="00692E71" w:rsidRDefault="00692E71" w:rsidP="00692E71">
            <w:pPr>
              <w:numPr>
                <w:ilvl w:val="1"/>
                <w:numId w:val="2"/>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sz w:val="20"/>
                <w:szCs w:val="20"/>
              </w:rPr>
              <w:lastRenderedPageBreak/>
              <w:t>FINRA Series 7 and 24, or Series 6 and 26 or successful completion within six months.</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b/>
                <w:bCs/>
                <w:sz w:val="20"/>
                <w:szCs w:val="20"/>
                <w:u w:val="single"/>
              </w:rPr>
              <w:t>Additional Requirements</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Demonstrate tact and professionalism and the ability to interact at all levels of management.</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Ability to meet established deadlines; must be a self-starter and be able to work independently as well as being a team player.</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Ability to understand, interpret and communicate complex subject matters.</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Excellent written and verbal communication skills required.</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Ability to work in a fast-paced environment, with a high degree of accuracy.</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Must have a proficiency in Microsoft Office Suite.</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Strong organizational skills a must.</w:t>
            </w:r>
          </w:p>
          <w:p w:rsidR="00692E71" w:rsidRPr="00692E71" w:rsidRDefault="00692E71" w:rsidP="00692E71">
            <w:pPr>
              <w:numPr>
                <w:ilvl w:val="0"/>
                <w:numId w:val="3"/>
              </w:numPr>
              <w:spacing w:before="100" w:beforeAutospacing="1" w:after="100" w:afterAutospacing="1" w:line="240" w:lineRule="auto"/>
              <w:rPr>
                <w:rFonts w:ascii="Verdana" w:eastAsia="Times New Roman" w:hAnsi="Verdana" w:cs="Arial"/>
                <w:sz w:val="17"/>
                <w:szCs w:val="17"/>
              </w:rPr>
            </w:pPr>
            <w:r w:rsidRPr="00692E71">
              <w:rPr>
                <w:rFonts w:ascii="Trebuchet MS" w:eastAsia="Times New Roman" w:hAnsi="Trebuchet MS" w:cs="Arial"/>
                <w:color w:val="000000"/>
                <w:sz w:val="20"/>
                <w:szCs w:val="20"/>
              </w:rPr>
              <w:t>Must be able to pass a background check.</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sz w:val="20"/>
                <w:szCs w:val="20"/>
              </w:rPr>
              <w:t>National Life Group® is a trade name of National Life Insurance Company, Montpelier, Vermont, and its affiliates.</w:t>
            </w:r>
          </w:p>
          <w:p w:rsidR="00692E71" w:rsidRPr="00692E71" w:rsidRDefault="00692E71" w:rsidP="00692E71">
            <w:pPr>
              <w:spacing w:after="0" w:line="240" w:lineRule="auto"/>
              <w:rPr>
                <w:rFonts w:ascii="Verdana" w:eastAsia="Times New Roman" w:hAnsi="Verdana" w:cs="Arial"/>
                <w:sz w:val="17"/>
                <w:szCs w:val="17"/>
              </w:rPr>
            </w:pPr>
            <w:r w:rsidRPr="00692E71">
              <w:rPr>
                <w:rFonts w:ascii="Trebuchet MS" w:eastAsia="Times New Roman" w:hAnsi="Trebuchet MS" w:cs="Arial"/>
                <w:sz w:val="20"/>
                <w:szCs w:val="20"/>
              </w:rPr>
              <w:t>TC80015(0614)P</w:t>
            </w:r>
          </w:p>
        </w:tc>
      </w:tr>
    </w:tbl>
    <w:p w:rsidR="00692E71" w:rsidRDefault="00692E71"/>
    <w:sectPr w:rsidR="00692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EA2"/>
    <w:multiLevelType w:val="multilevel"/>
    <w:tmpl w:val="3CB42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15896"/>
    <w:multiLevelType w:val="multilevel"/>
    <w:tmpl w:val="8F1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2F707C"/>
    <w:multiLevelType w:val="multilevel"/>
    <w:tmpl w:val="3AFA0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71"/>
    <w:rsid w:val="00692E71"/>
    <w:rsid w:val="0071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E71"/>
    <w:pPr>
      <w:spacing w:after="0" w:line="240" w:lineRule="auto"/>
      <w:outlineLvl w:val="0"/>
    </w:pPr>
    <w:rPr>
      <w:rFonts w:ascii="inherit" w:eastAsia="Times New Roman" w:hAnsi="inherit" w:cs="Times New Roman"/>
      <w:b/>
      <w:bCs/>
      <w:color w:val="3D9B35"/>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71"/>
    <w:rPr>
      <w:rFonts w:ascii="inherit" w:eastAsia="Times New Roman" w:hAnsi="inherit" w:cs="Times New Roman"/>
      <w:b/>
      <w:bCs/>
      <w:color w:val="3D9B35"/>
      <w:kern w:val="36"/>
      <w:sz w:val="27"/>
      <w:szCs w:val="27"/>
    </w:rPr>
  </w:style>
  <w:style w:type="paragraph" w:styleId="NormalWeb">
    <w:name w:val="Normal (Web)"/>
    <w:basedOn w:val="Normal"/>
    <w:uiPriority w:val="99"/>
    <w:unhideWhenUsed/>
    <w:rsid w:val="00692E7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E71"/>
    <w:rPr>
      <w:b/>
      <w:bCs/>
    </w:rPr>
  </w:style>
  <w:style w:type="character" w:styleId="Hyperlink">
    <w:name w:val="Hyperlink"/>
    <w:basedOn w:val="DefaultParagraphFont"/>
    <w:uiPriority w:val="99"/>
    <w:unhideWhenUsed/>
    <w:rsid w:val="00692E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E71"/>
    <w:pPr>
      <w:spacing w:after="0" w:line="240" w:lineRule="auto"/>
      <w:outlineLvl w:val="0"/>
    </w:pPr>
    <w:rPr>
      <w:rFonts w:ascii="inherit" w:eastAsia="Times New Roman" w:hAnsi="inherit" w:cs="Times New Roman"/>
      <w:b/>
      <w:bCs/>
      <w:color w:val="3D9B35"/>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71"/>
    <w:rPr>
      <w:rFonts w:ascii="inherit" w:eastAsia="Times New Roman" w:hAnsi="inherit" w:cs="Times New Roman"/>
      <w:b/>
      <w:bCs/>
      <w:color w:val="3D9B35"/>
      <w:kern w:val="36"/>
      <w:sz w:val="27"/>
      <w:szCs w:val="27"/>
    </w:rPr>
  </w:style>
  <w:style w:type="paragraph" w:styleId="NormalWeb">
    <w:name w:val="Normal (Web)"/>
    <w:basedOn w:val="Normal"/>
    <w:uiPriority w:val="99"/>
    <w:unhideWhenUsed/>
    <w:rsid w:val="00692E7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E71"/>
    <w:rPr>
      <w:b/>
      <w:bCs/>
    </w:rPr>
  </w:style>
  <w:style w:type="character" w:styleId="Hyperlink">
    <w:name w:val="Hyperlink"/>
    <w:basedOn w:val="DefaultParagraphFont"/>
    <w:uiPriority w:val="99"/>
    <w:unhideWhenUsed/>
    <w:rsid w:val="00692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849333">
      <w:bodyDiv w:val="1"/>
      <w:marLeft w:val="0"/>
      <w:marRight w:val="0"/>
      <w:marTop w:val="0"/>
      <w:marBottom w:val="0"/>
      <w:divBdr>
        <w:top w:val="none" w:sz="0" w:space="0" w:color="auto"/>
        <w:left w:val="none" w:sz="0" w:space="0" w:color="auto"/>
        <w:bottom w:val="none" w:sz="0" w:space="0" w:color="auto"/>
        <w:right w:val="none" w:sz="0" w:space="0" w:color="auto"/>
      </w:divBdr>
      <w:divsChild>
        <w:div w:id="440996555">
          <w:marLeft w:val="0"/>
          <w:marRight w:val="0"/>
          <w:marTop w:val="0"/>
          <w:marBottom w:val="0"/>
          <w:divBdr>
            <w:top w:val="none" w:sz="0" w:space="0" w:color="auto"/>
            <w:left w:val="none" w:sz="0" w:space="0" w:color="auto"/>
            <w:bottom w:val="none" w:sz="0" w:space="0" w:color="auto"/>
            <w:right w:val="none" w:sz="0" w:space="0" w:color="auto"/>
          </w:divBdr>
          <w:divsChild>
            <w:div w:id="912812170">
              <w:marLeft w:val="0"/>
              <w:marRight w:val="0"/>
              <w:marTop w:val="0"/>
              <w:marBottom w:val="0"/>
              <w:divBdr>
                <w:top w:val="none" w:sz="0" w:space="0" w:color="auto"/>
                <w:left w:val="none" w:sz="0" w:space="0" w:color="auto"/>
                <w:bottom w:val="none" w:sz="0" w:space="0" w:color="auto"/>
                <w:right w:val="none" w:sz="0" w:space="0" w:color="auto"/>
              </w:divBdr>
              <w:divsChild>
                <w:div w:id="724522902">
                  <w:marLeft w:val="0"/>
                  <w:marRight w:val="0"/>
                  <w:marTop w:val="0"/>
                  <w:marBottom w:val="0"/>
                  <w:divBdr>
                    <w:top w:val="none" w:sz="0" w:space="0" w:color="auto"/>
                    <w:left w:val="none" w:sz="0" w:space="0" w:color="auto"/>
                    <w:bottom w:val="none" w:sz="0" w:space="0" w:color="auto"/>
                    <w:right w:val="none" w:sz="0" w:space="0" w:color="auto"/>
                  </w:divBdr>
                  <w:divsChild>
                    <w:div w:id="10923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tbe.taleo.net/CH15/ats/careers/requisition.jsp?org=NATILIFE&amp;cws=1&amp;rid=3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Life Group</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Quintana</dc:creator>
  <cp:lastModifiedBy>Sara Quintana</cp:lastModifiedBy>
  <cp:revision>1</cp:revision>
  <dcterms:created xsi:type="dcterms:W3CDTF">2014-07-22T14:26:00Z</dcterms:created>
  <dcterms:modified xsi:type="dcterms:W3CDTF">2014-07-22T14:27:00Z</dcterms:modified>
</cp:coreProperties>
</file>