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654D42" w:rsidRDefault="00654D42" w:rsidP="00654D42">
            <w:pPr>
              <w:spacing w:line="240" w:lineRule="atLeast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bookmarkStart w:id="0" w:name="_GoBack"/>
            <w:r w:rsidRPr="00D44682">
              <w:rPr>
                <w:rFonts w:ascii="Arial Narrow" w:hAnsi="Arial Narrow"/>
                <w:b/>
                <w:snapToGrid w:val="0"/>
                <w:sz w:val="22"/>
                <w:szCs w:val="22"/>
              </w:rPr>
              <w:t>ROCKWELL AUTOMATION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, INC.</w:t>
            </w:r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654D42">
            <w:r w:rsidRPr="00D44682">
              <w:rPr>
                <w:rFonts w:ascii="Arial Narrow" w:hAnsi="Arial Narrow"/>
                <w:b/>
                <w:snapToGrid w:val="0"/>
                <w:sz w:val="22"/>
                <w:szCs w:val="22"/>
              </w:rPr>
              <w:t>Global Trade Compliance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Export</w:t>
            </w:r>
            <w:r w:rsidRPr="00D44682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Project Lead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654D42">
            <w:r w:rsidRPr="00D44682">
              <w:rPr>
                <w:rFonts w:ascii="Arial Narrow" w:hAnsi="Arial Narrow"/>
                <w:b/>
                <w:snapToGrid w:val="0"/>
                <w:sz w:val="22"/>
                <w:szCs w:val="22"/>
              </w:rPr>
              <w:t>Mayfield Hts.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(Cleveland)</w:t>
            </w:r>
            <w:r w:rsidRPr="00D44682">
              <w:rPr>
                <w:rFonts w:ascii="Arial Narrow" w:hAnsi="Arial Narrow"/>
                <w:b/>
                <w:snapToGrid w:val="0"/>
                <w:sz w:val="22"/>
                <w:szCs w:val="22"/>
              </w:rPr>
              <w:t>, OH, USA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654D42"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654D42" w:rsidP="00654D42"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654D42" w:rsidRPr="00D44682" w:rsidRDefault="00654D42" w:rsidP="00654D42">
      <w:pPr>
        <w:spacing w:line="240" w:lineRule="atLeast"/>
        <w:ind w:left="360"/>
        <w:rPr>
          <w:rFonts w:ascii="Arial Narrow" w:hAnsi="Arial Narrow"/>
          <w:b/>
          <w:snapToGrid w:val="0"/>
          <w:sz w:val="22"/>
          <w:szCs w:val="22"/>
        </w:rPr>
      </w:pPr>
      <w:r w:rsidRPr="00D44682">
        <w:rPr>
          <w:rFonts w:ascii="Arial Narrow" w:hAnsi="Arial Narrow"/>
          <w:b/>
          <w:snapToGrid w:val="0"/>
          <w:sz w:val="22"/>
          <w:szCs w:val="22"/>
        </w:rPr>
        <w:t>RESPONSIBILITIES:</w:t>
      </w:r>
    </w:p>
    <w:p w:rsidR="00654D42" w:rsidRPr="00D44682" w:rsidRDefault="00654D42" w:rsidP="00654D42">
      <w:pPr>
        <w:ind w:left="360"/>
        <w:rPr>
          <w:rFonts w:ascii="Arial Narrow" w:hAnsi="Arial Narrow"/>
          <w:sz w:val="22"/>
          <w:szCs w:val="22"/>
        </w:rPr>
      </w:pP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Works on complex export issues where an in-depth regulatory, organizational and/or technical analysis is required before a position can be taken.</w:t>
      </w: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Exercises judgment in the selection of techniques, methods and assessment criteria to obtain the desired outcome.</w:t>
      </w: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 xml:space="preserve">Provides guidance to functional groups that have direct or indirect impact on company exports  </w:t>
      </w: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Guides, reviews and approves export license, CCATS and CJ applications to US government agencies and reports to authorities as required by engaging appropriate resources.</w:t>
      </w: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Interacts with peers and internal/external customers to gain cooperation to solve complex export challenges.</w:t>
      </w: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Provides guidance and participates with SAP teams engaged in driving export automation.</w:t>
      </w:r>
    </w:p>
    <w:p w:rsidR="00654D42" w:rsidRPr="00D44682" w:rsidRDefault="00654D42" w:rsidP="00654D42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Provide guidance and consult with export operations on </w:t>
      </w:r>
      <w:r w:rsidRPr="00D44682">
        <w:rPr>
          <w:rFonts w:ascii="Arial Narrow" w:hAnsi="Arial Narrow"/>
          <w:sz w:val="22"/>
          <w:szCs w:val="22"/>
        </w:rPr>
        <w:t>appropriate assignment of license types as required in the SAP system.</w:t>
      </w:r>
    </w:p>
    <w:p w:rsidR="00654D42" w:rsidRPr="00D44682" w:rsidRDefault="00654D42" w:rsidP="00654D42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Consults &amp; assists Rockwell Automation businesses in the design, development, and implementation of business processes that meet the BU goals and objectives while remaining fully compliant with the Export Control Regulations.</w:t>
      </w:r>
    </w:p>
    <w:p w:rsidR="00654D42" w:rsidRPr="00D44682" w:rsidRDefault="00654D42" w:rsidP="00654D42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 xml:space="preserve">Searches for solutions to potential conflicts that might arise between what the BU needs/wants to be successful and the imperatives of Export Regulations. </w:t>
      </w:r>
    </w:p>
    <w:p w:rsidR="00654D42" w:rsidRPr="00D44682" w:rsidRDefault="00654D42" w:rsidP="00654D42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Assist the Global Trade Compliance Export Manager with development of/identification of/presentation of Export Compliance Training globally.</w:t>
      </w:r>
    </w:p>
    <w:p w:rsidR="00654D42" w:rsidRPr="00D44682" w:rsidRDefault="00654D42" w:rsidP="00654D42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 xml:space="preserve">Supports the Global Trade Compliance </w:t>
      </w:r>
      <w:r>
        <w:rPr>
          <w:rFonts w:ascii="Arial Narrow" w:hAnsi="Arial Narrow"/>
          <w:sz w:val="22"/>
          <w:szCs w:val="22"/>
        </w:rPr>
        <w:t>audit program through reviews of export related items identified during audits performed by the department.  Identifies areas of specific risk and performs ad hoc export audits. Supports</w:t>
      </w:r>
      <w:r w:rsidRPr="00D44682">
        <w:rPr>
          <w:rFonts w:ascii="Arial Narrow" w:hAnsi="Arial Narrow"/>
          <w:sz w:val="22"/>
          <w:szCs w:val="22"/>
        </w:rPr>
        <w:t xml:space="preserve"> /track</w:t>
      </w:r>
      <w:r>
        <w:rPr>
          <w:rFonts w:ascii="Arial Narrow" w:hAnsi="Arial Narrow"/>
          <w:sz w:val="22"/>
          <w:szCs w:val="22"/>
        </w:rPr>
        <w:t>s</w:t>
      </w:r>
      <w:r w:rsidRPr="00D44682">
        <w:rPr>
          <w:rFonts w:ascii="Arial Narrow" w:hAnsi="Arial Narrow"/>
          <w:sz w:val="22"/>
          <w:szCs w:val="22"/>
        </w:rPr>
        <w:t xml:space="preserve"> corrective action measures to make sure Rockwell Automation Programs are brought into </w:t>
      </w:r>
      <w:r>
        <w:rPr>
          <w:rFonts w:ascii="Arial Narrow" w:hAnsi="Arial Narrow"/>
          <w:sz w:val="22"/>
          <w:szCs w:val="22"/>
        </w:rPr>
        <w:t>c</w:t>
      </w:r>
      <w:r w:rsidRPr="00D44682">
        <w:rPr>
          <w:rFonts w:ascii="Arial Narrow" w:hAnsi="Arial Narrow"/>
          <w:sz w:val="22"/>
          <w:szCs w:val="22"/>
        </w:rPr>
        <w:t>ompliance standards.</w:t>
      </w:r>
    </w:p>
    <w:p w:rsidR="00654D42" w:rsidRPr="00D44682" w:rsidRDefault="00654D42" w:rsidP="00654D42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Maintain a current and complete understanding of Export Regulations Worldwide in order to determine the impact on channel distribution at Rockwell Automation locations.</w:t>
      </w:r>
    </w:p>
    <w:p w:rsidR="00654D42" w:rsidRPr="00D44682" w:rsidRDefault="00654D42" w:rsidP="00654D42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Manages Letters of Written Assurance and Importer’s Statements for all Rockwell Automation Offices worldwide as required for use of certain types of Export Licenses.</w:t>
      </w:r>
    </w:p>
    <w:p w:rsidR="00654D42" w:rsidRPr="00D44682" w:rsidRDefault="00654D42" w:rsidP="00654D42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lastRenderedPageBreak/>
        <w:t>Maintains the Global Trade Compliance Website and seeks to improve its effectiveness.</w:t>
      </w:r>
    </w:p>
    <w:p w:rsidR="00654D42" w:rsidRPr="00D44682" w:rsidRDefault="00654D42" w:rsidP="00654D42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44682">
        <w:rPr>
          <w:rFonts w:ascii="Arial Narrow" w:hAnsi="Arial Narrow"/>
          <w:sz w:val="22"/>
          <w:szCs w:val="22"/>
        </w:rPr>
        <w:t>Assist with monitoring documentation/recordkeeping requirements for the department.</w:t>
      </w:r>
    </w:p>
    <w:p w:rsidR="00654D42" w:rsidRPr="00D44682" w:rsidRDefault="00654D42" w:rsidP="00654D42">
      <w:pPr>
        <w:spacing w:line="240" w:lineRule="atLeast"/>
        <w:ind w:left="360"/>
        <w:rPr>
          <w:rFonts w:ascii="Arial Narrow" w:hAnsi="Arial Narrow"/>
          <w:snapToGrid w:val="0"/>
          <w:sz w:val="22"/>
          <w:szCs w:val="22"/>
        </w:rPr>
      </w:pPr>
    </w:p>
    <w:p w:rsidR="00654D42" w:rsidRPr="00D44682" w:rsidRDefault="00654D42" w:rsidP="00654D42">
      <w:pPr>
        <w:spacing w:line="240" w:lineRule="atLeast"/>
        <w:ind w:left="360"/>
        <w:rPr>
          <w:rFonts w:ascii="Arial Narrow" w:hAnsi="Arial Narrow"/>
          <w:b/>
          <w:snapToGrid w:val="0"/>
          <w:sz w:val="22"/>
          <w:szCs w:val="22"/>
        </w:rPr>
      </w:pPr>
      <w:r w:rsidRPr="00D44682">
        <w:rPr>
          <w:rFonts w:ascii="Arial Narrow" w:hAnsi="Arial Narrow"/>
          <w:b/>
          <w:snapToGrid w:val="0"/>
          <w:sz w:val="22"/>
          <w:szCs w:val="22"/>
        </w:rPr>
        <w:t>EDUCATION REQUIREMENTS:</w:t>
      </w:r>
    </w:p>
    <w:p w:rsidR="00654D42" w:rsidRPr="00D44682" w:rsidRDefault="00654D42" w:rsidP="00654D42">
      <w:pPr>
        <w:spacing w:line="240" w:lineRule="atLeast"/>
        <w:ind w:left="360"/>
        <w:rPr>
          <w:rFonts w:ascii="Arial Narrow" w:hAnsi="Arial Narrow"/>
          <w:b/>
          <w:snapToGrid w:val="0"/>
          <w:sz w:val="22"/>
          <w:szCs w:val="22"/>
        </w:rPr>
      </w:pPr>
    </w:p>
    <w:p w:rsidR="00654D42" w:rsidRPr="00D44682" w:rsidRDefault="00654D42" w:rsidP="00654D42">
      <w:pPr>
        <w:ind w:left="360"/>
        <w:rPr>
          <w:rFonts w:ascii="Arial Narrow" w:hAnsi="Arial Narrow"/>
          <w:sz w:val="22"/>
          <w:szCs w:val="22"/>
        </w:rPr>
      </w:pPr>
      <w:r w:rsidRPr="00EC0084">
        <w:rPr>
          <w:rFonts w:ascii="Arial Narrow" w:hAnsi="Arial Narrow"/>
          <w:sz w:val="22"/>
          <w:szCs w:val="22"/>
        </w:rPr>
        <w:t>B.A. in Electrical Engineering, Computer Science or equivalent</w:t>
      </w:r>
      <w:r>
        <w:rPr>
          <w:rFonts w:ascii="Arial Narrow" w:hAnsi="Arial Narrow"/>
          <w:sz w:val="22"/>
          <w:szCs w:val="22"/>
        </w:rPr>
        <w:t xml:space="preserve"> technical degree.</w:t>
      </w:r>
    </w:p>
    <w:p w:rsidR="00654D42" w:rsidRPr="00D44682" w:rsidRDefault="00654D42" w:rsidP="00654D42">
      <w:pPr>
        <w:spacing w:line="240" w:lineRule="atLeast"/>
        <w:ind w:left="360"/>
        <w:rPr>
          <w:rFonts w:ascii="Arial Narrow" w:hAnsi="Arial Narrow"/>
          <w:snapToGrid w:val="0"/>
          <w:sz w:val="22"/>
          <w:szCs w:val="22"/>
        </w:rPr>
      </w:pPr>
    </w:p>
    <w:p w:rsidR="00654D42" w:rsidRPr="00D44682" w:rsidRDefault="00654D42" w:rsidP="00654D42">
      <w:pPr>
        <w:spacing w:line="240" w:lineRule="atLeast"/>
        <w:ind w:left="360"/>
        <w:rPr>
          <w:rFonts w:ascii="Arial Narrow" w:hAnsi="Arial Narrow"/>
          <w:b/>
          <w:snapToGrid w:val="0"/>
          <w:sz w:val="22"/>
          <w:szCs w:val="22"/>
        </w:rPr>
      </w:pPr>
      <w:r w:rsidRPr="00D44682">
        <w:rPr>
          <w:rFonts w:ascii="Arial Narrow" w:hAnsi="Arial Narrow"/>
          <w:b/>
          <w:snapToGrid w:val="0"/>
          <w:sz w:val="22"/>
          <w:szCs w:val="22"/>
        </w:rPr>
        <w:t>EXPERIENCE REQUIREMENTS:</w:t>
      </w:r>
    </w:p>
    <w:p w:rsidR="00654D42" w:rsidRPr="00E32521" w:rsidRDefault="00654D42" w:rsidP="00654D42">
      <w:pPr>
        <w:spacing w:line="240" w:lineRule="atLeast"/>
        <w:ind w:left="360"/>
        <w:rPr>
          <w:rFonts w:ascii="Arial Narrow" w:hAnsi="Arial Narrow"/>
          <w:snapToGrid w:val="0"/>
          <w:sz w:val="22"/>
          <w:szCs w:val="22"/>
        </w:rPr>
      </w:pPr>
      <w:r w:rsidRPr="00D44682">
        <w:rPr>
          <w:rFonts w:ascii="Arial Narrow" w:hAnsi="Arial Narrow"/>
          <w:snapToGrid w:val="0"/>
          <w:sz w:val="22"/>
          <w:szCs w:val="22"/>
        </w:rPr>
        <w:tab/>
      </w:r>
    </w:p>
    <w:p w:rsidR="00654D42" w:rsidRPr="00EC0084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EC0084">
        <w:rPr>
          <w:rFonts w:ascii="Arial Narrow" w:hAnsi="Arial Narrow"/>
          <w:snapToGrid w:val="0"/>
          <w:sz w:val="22"/>
          <w:szCs w:val="22"/>
        </w:rPr>
        <w:t>Strong knowledge of factory automation and related software and related technology is required.</w:t>
      </w:r>
    </w:p>
    <w:p w:rsidR="00654D42" w:rsidRPr="00EC0084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EC0084">
        <w:rPr>
          <w:rFonts w:ascii="Arial Narrow" w:hAnsi="Arial Narrow"/>
          <w:snapToGrid w:val="0"/>
          <w:sz w:val="22"/>
          <w:szCs w:val="22"/>
        </w:rPr>
        <w:t>Project management experience of typically 8+ years in factory automation, R&amp;D and/or large projects.</w:t>
      </w:r>
    </w:p>
    <w:p w:rsidR="00654D42" w:rsidRPr="00EC0084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EC0084">
        <w:rPr>
          <w:rFonts w:ascii="Arial Narrow" w:hAnsi="Arial Narrow"/>
          <w:snapToGrid w:val="0"/>
          <w:sz w:val="22"/>
          <w:szCs w:val="22"/>
        </w:rPr>
        <w:t>Global Trade and compliance expert consisting of typically 8+ years of international work experience managing Global Trade programs for manufacturing entity with operations across the world.</w:t>
      </w:r>
    </w:p>
    <w:p w:rsidR="00654D42" w:rsidRPr="00EC0084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EC0084">
        <w:rPr>
          <w:rFonts w:ascii="Arial Narrow" w:hAnsi="Arial Narrow"/>
          <w:snapToGrid w:val="0"/>
          <w:sz w:val="22"/>
          <w:szCs w:val="22"/>
        </w:rPr>
        <w:t xml:space="preserve">Knowledge of corporate trade compliance programs and issues desired. </w:t>
      </w:r>
    </w:p>
    <w:p w:rsidR="00654D42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D90669">
        <w:rPr>
          <w:rFonts w:ascii="Arial Narrow" w:hAnsi="Arial Narrow"/>
          <w:snapToGrid w:val="0"/>
          <w:sz w:val="22"/>
          <w:szCs w:val="22"/>
        </w:rPr>
        <w:t>Strong analytical and problem solving skills.</w:t>
      </w:r>
    </w:p>
    <w:p w:rsidR="00654D42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D90669">
        <w:rPr>
          <w:rFonts w:ascii="Arial Narrow" w:hAnsi="Arial Narrow"/>
          <w:snapToGrid w:val="0"/>
          <w:sz w:val="22"/>
          <w:szCs w:val="22"/>
        </w:rPr>
        <w:t>Excellent written and verbal communication skills; excellent interpersonal skills</w:t>
      </w:r>
      <w:r>
        <w:rPr>
          <w:rFonts w:ascii="Arial Narrow" w:hAnsi="Arial Narrow"/>
          <w:snapToGrid w:val="0"/>
          <w:sz w:val="22"/>
          <w:szCs w:val="22"/>
        </w:rPr>
        <w:t>.</w:t>
      </w:r>
    </w:p>
    <w:p w:rsidR="00654D42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D90669">
        <w:rPr>
          <w:rFonts w:ascii="Arial Narrow" w:hAnsi="Arial Narrow"/>
          <w:snapToGrid w:val="0"/>
          <w:sz w:val="22"/>
          <w:szCs w:val="22"/>
        </w:rPr>
        <w:t>Exceptional attention to detail</w:t>
      </w:r>
      <w:r>
        <w:rPr>
          <w:rFonts w:ascii="Arial Narrow" w:hAnsi="Arial Narrow"/>
          <w:snapToGrid w:val="0"/>
          <w:sz w:val="22"/>
          <w:szCs w:val="22"/>
        </w:rPr>
        <w:t>.</w:t>
      </w:r>
    </w:p>
    <w:p w:rsidR="00654D42" w:rsidRPr="00D90669" w:rsidRDefault="00654D42" w:rsidP="00654D42">
      <w:pPr>
        <w:numPr>
          <w:ilvl w:val="0"/>
          <w:numId w:val="3"/>
        </w:numPr>
        <w:spacing w:line="240" w:lineRule="atLeast"/>
        <w:rPr>
          <w:rFonts w:ascii="Arial Narrow" w:hAnsi="Arial Narrow"/>
          <w:snapToGrid w:val="0"/>
          <w:sz w:val="22"/>
          <w:szCs w:val="22"/>
        </w:rPr>
      </w:pPr>
      <w:r w:rsidRPr="00D90669">
        <w:rPr>
          <w:rFonts w:ascii="Arial Narrow" w:hAnsi="Arial Narrow"/>
          <w:snapToGrid w:val="0"/>
          <w:sz w:val="22"/>
          <w:szCs w:val="22"/>
        </w:rPr>
        <w:t>Competency in Microsoft Office and SAP</w:t>
      </w:r>
      <w:r>
        <w:rPr>
          <w:rFonts w:ascii="Arial Narrow" w:hAnsi="Arial Narrow"/>
          <w:snapToGrid w:val="0"/>
          <w:sz w:val="22"/>
          <w:szCs w:val="22"/>
        </w:rPr>
        <w:t>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654D42">
      <w:pPr>
        <w:rPr>
          <w:b/>
          <w:sz w:val="32"/>
          <w:szCs w:val="32"/>
          <w:u w:val="single"/>
        </w:rPr>
      </w:pPr>
      <w:hyperlink r:id="rId7" w:history="1">
        <w:r>
          <w:rPr>
            <w:rFonts w:ascii="Helv" w:hAnsi="Helv" w:cs="Helv"/>
            <w:color w:val="0000FF"/>
            <w:sz w:val="20"/>
            <w:szCs w:val="20"/>
            <w:u w:val="single"/>
          </w:rPr>
          <w:t>https://sjobs.brassring.com/1033/AS</w:t>
        </w:r>
        <w:r>
          <w:rPr>
            <w:rFonts w:ascii="Helv" w:hAnsi="Helv" w:cs="Helv"/>
            <w:color w:val="0000FF"/>
            <w:sz w:val="20"/>
            <w:szCs w:val="20"/>
            <w:u w:val="single"/>
          </w:rPr>
          <w:t>P</w:t>
        </w:r>
        <w:r>
          <w:rPr>
            <w:rFonts w:ascii="Helv" w:hAnsi="Helv" w:cs="Helv"/>
            <w:color w:val="0000FF"/>
            <w:sz w:val="20"/>
            <w:szCs w:val="20"/>
            <w:u w:val="single"/>
          </w:rPr>
          <w:t>/TG/cim_home.asp?partnerid=12166&amp;siteid=105</w:t>
        </w:r>
      </w:hyperlink>
      <w:r>
        <w:rPr>
          <w:rFonts w:ascii="Helv" w:hAnsi="Helv" w:cs="Helv"/>
          <w:color w:val="000000"/>
          <w:sz w:val="20"/>
          <w:szCs w:val="20"/>
        </w:rPr>
        <w:t xml:space="preserve">; </w:t>
      </w:r>
      <w:proofErr w:type="spellStart"/>
      <w:r>
        <w:rPr>
          <w:rFonts w:ascii="Helv" w:hAnsi="Helv" w:cs="Helv"/>
          <w:color w:val="000000"/>
          <w:sz w:val="20"/>
          <w:szCs w:val="20"/>
        </w:rPr>
        <w:t>Req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Number 48457BR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F188C"/>
    <w:multiLevelType w:val="hybridMultilevel"/>
    <w:tmpl w:val="F626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92957"/>
    <w:multiLevelType w:val="hybridMultilevel"/>
    <w:tmpl w:val="597E89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1E78E9"/>
    <w:multiLevelType w:val="hybridMultilevel"/>
    <w:tmpl w:val="72163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8558C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654D42"/>
    <w:rsid w:val="007E0737"/>
    <w:rsid w:val="0095166A"/>
    <w:rsid w:val="00B418E6"/>
    <w:rsid w:val="00D33F69"/>
    <w:rsid w:val="00E1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22C23-F849-45D5-8FD5-5C7A155F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jobs.brassring.com/1033/ASP/TG/cim_home.asp?partnerid=12166&amp;siteid=105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2014_04_21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3515</CharactersWithSpaces>
  <SharedDoc>false</SharedDoc>
  <HLinks>
    <vt:vector size="6" baseType="variant"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https://sjobs.brassring.com/1033/ASP/TG/cim_home.asp?partnerid=12166&amp;siteid=105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2014-04-23T00:10:00Z</dcterms:created>
  <dcterms:modified xsi:type="dcterms:W3CDTF">2014-04-23T00:10:00Z</dcterms:modified>
</cp:coreProperties>
</file>