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173D3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3288B">
            <w:r>
              <w:t xml:space="preserve">Vectronix Inc. </w:t>
            </w:r>
          </w:p>
        </w:tc>
      </w:tr>
      <w:tr w:rsidR="00B418E6" w:rsidTr="00534443">
        <w:tc>
          <w:tcPr>
            <w:tcW w:w="2448" w:type="dxa"/>
          </w:tcPr>
          <w:p w:rsidR="00B418E6" w:rsidRDefault="00B418E6">
            <w:r>
              <w:t>Job Title</w:t>
            </w:r>
          </w:p>
        </w:tc>
        <w:tc>
          <w:tcPr>
            <w:tcW w:w="6408" w:type="dxa"/>
          </w:tcPr>
          <w:p w:rsidR="00B418E6" w:rsidRDefault="0053288B">
            <w:r>
              <w:t>Sr. Export Control Officer</w:t>
            </w:r>
          </w:p>
        </w:tc>
      </w:tr>
      <w:tr w:rsidR="00B418E6" w:rsidTr="00534443">
        <w:tc>
          <w:tcPr>
            <w:tcW w:w="2448" w:type="dxa"/>
          </w:tcPr>
          <w:p w:rsidR="00B418E6" w:rsidRDefault="00B418E6">
            <w:r>
              <w:t>Location</w:t>
            </w:r>
          </w:p>
        </w:tc>
        <w:tc>
          <w:tcPr>
            <w:tcW w:w="6408" w:type="dxa"/>
          </w:tcPr>
          <w:p w:rsidR="00B418E6" w:rsidRDefault="0053288B">
            <w:r>
              <w:t>Ashburn, VA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53288B" w:rsidRDefault="0053288B" w:rsidP="0053288B">
      <w:pPr>
        <w:rPr>
          <w:rFonts w:ascii="Arial" w:hAnsi="Arial" w:cs="Arial"/>
          <w:color w:val="434343"/>
        </w:rPr>
      </w:pPr>
    </w:p>
    <w:p w:rsidR="0053288B" w:rsidRDefault="0053288B" w:rsidP="0053288B">
      <w:pPr>
        <w:rPr>
          <w:rFonts w:ascii="Arial" w:hAnsi="Arial" w:cs="Arial"/>
          <w:color w:val="434343"/>
        </w:rPr>
      </w:pPr>
      <w:r>
        <w:rPr>
          <w:rFonts w:ascii="Arial" w:hAnsi="Arial" w:cs="Arial"/>
          <w:color w:val="434343"/>
        </w:rPr>
        <w:t>Vectronix Inc. is a provider of electro-optical and geo-positioning systems, specializing in hand-held and vehicle mounted systems. Vectronix Inc. has a world-class line of products with expanding research, development, manufacturing and service capabilities in the United States.</w:t>
      </w:r>
    </w:p>
    <w:p w:rsidR="0053288B" w:rsidRDefault="0053288B" w:rsidP="0053288B">
      <w:pPr>
        <w:rPr>
          <w:rFonts w:ascii="Arial" w:hAnsi="Arial" w:cs="Arial"/>
          <w:color w:val="434343"/>
        </w:rPr>
      </w:pPr>
    </w:p>
    <w:p w:rsidR="0053288B" w:rsidRDefault="0053288B" w:rsidP="0053288B">
      <w:pPr>
        <w:rPr>
          <w:rFonts w:ascii="Arial" w:hAnsi="Arial" w:cs="Arial"/>
          <w:color w:val="434343"/>
        </w:rPr>
      </w:pPr>
      <w:r>
        <w:rPr>
          <w:rFonts w:ascii="Arial" w:hAnsi="Arial" w:cs="Arial"/>
          <w:color w:val="434343"/>
        </w:rPr>
        <w:t xml:space="preserve">The Vectronix Senior Export Control Officer (ECO) must have extensive knowledge and experience with the U.S. Department of State, Directorate of Defense Trade Controls (“DDTC”), International Traffic in Arms Regulations (“ITAR”); the U.S. Department of Commerce, Bureau of Industry and Security (“BIS”), Export Administration Regulations (“EAR”); the U.S. Department of Treasury, Office of Foreign Assets Control (“OFAC”), Customs, and other U.S. and Non-U.S. laws and regulations dealing with export, customs, and sanctions. The Senior ECO will be responsible for export compliance with U.S. and Non-U.S. laws and regulations and SAFRAN Group policy on export compliance. The Senior ECO will report to the VP Corporate Governance and Compliance executive. Thus, the Senior ECO is positioned in the organization so as to avoid potential conflicts of interest, and is a position to enforce export compliance in face of other potential conflicting business pressures. The Senior ECO is supported by a network of Export Control Coordinators (“ECCs”), positioned in key operational organizations, including Procurement, Marketing &amp; Sales, Programs, Shipping/Logistics, Engineering, Human Resources, IT, Contracts and Quality. </w:t>
      </w:r>
    </w:p>
    <w:p w:rsidR="0053288B" w:rsidRDefault="0053288B" w:rsidP="0053288B">
      <w:pPr>
        <w:rPr>
          <w:rFonts w:ascii="Arial" w:hAnsi="Arial" w:cs="Arial"/>
          <w:color w:val="434343"/>
        </w:rPr>
      </w:pPr>
    </w:p>
    <w:p w:rsidR="0053288B" w:rsidRDefault="0053288B" w:rsidP="0053288B">
      <w:pPr>
        <w:rPr>
          <w:rFonts w:ascii="Arial" w:hAnsi="Arial" w:cs="Arial"/>
          <w:b/>
          <w:bCs/>
          <w:color w:val="434343"/>
        </w:rPr>
      </w:pPr>
    </w:p>
    <w:p w:rsidR="0053288B" w:rsidRDefault="0053288B" w:rsidP="0053288B">
      <w:pPr>
        <w:rPr>
          <w:rFonts w:ascii="Arial" w:hAnsi="Arial" w:cs="Arial"/>
          <w:b/>
          <w:bCs/>
          <w:color w:val="434343"/>
        </w:rPr>
      </w:pPr>
    </w:p>
    <w:p w:rsidR="0053288B" w:rsidRDefault="0053288B" w:rsidP="0053288B">
      <w:pPr>
        <w:rPr>
          <w:rFonts w:ascii="Arial" w:hAnsi="Arial" w:cs="Arial"/>
          <w:b/>
          <w:bCs/>
          <w:color w:val="434343"/>
        </w:rPr>
      </w:pPr>
    </w:p>
    <w:p w:rsidR="0053288B" w:rsidRDefault="0053288B" w:rsidP="0053288B">
      <w:pPr>
        <w:rPr>
          <w:rFonts w:ascii="Arial" w:hAnsi="Arial" w:cs="Arial"/>
          <w:color w:val="434343"/>
        </w:rPr>
      </w:pPr>
      <w:r>
        <w:rPr>
          <w:rFonts w:ascii="Arial" w:hAnsi="Arial" w:cs="Arial"/>
          <w:b/>
          <w:bCs/>
          <w:color w:val="434343"/>
        </w:rPr>
        <w:lastRenderedPageBreak/>
        <w:t xml:space="preserve">Essential Duties and Responsibilities: </w:t>
      </w:r>
    </w:p>
    <w:p w:rsidR="0053288B" w:rsidRDefault="0053288B" w:rsidP="0053288B">
      <w:pPr>
        <w:rPr>
          <w:rFonts w:ascii="Arial" w:hAnsi="Arial" w:cs="Arial"/>
          <w:color w:val="434343"/>
        </w:rPr>
      </w:pPr>
      <w:r>
        <w:rPr>
          <w:rFonts w:ascii="Arial" w:hAnsi="Arial" w:cs="Arial"/>
          <w:color w:val="434343"/>
        </w:rPr>
        <w:t>Primary duties include but are not limited to:</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Research, analyze and interpret U.S. and Non-U.S. international trade regulations and laws (including ITAR, EAR, OFAC, Customs) and in determining their effect on Vectronix Inc. operations.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Work closely with Vectronix Inc. personnel to review international trade activity and make appropriate export license determinations.</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Perform regulatory analysis to determine proper jurisdiction and appropriate classification of hardware, software and technology.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Review technical data that is being proposed for export to assess technical content and make appropriate export license determination.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Prepare export license applications and authorizations, including DSPs, TAAs, MLAs, CJs, and GCs.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Maintain and Update company’s Export Compliance Manual, Export Control Procedures, and Policies.</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Set up procedures and instructions specific to the Company as part of its Internal Control Program, and ensure that they are followed.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Work with company personnel to prepare, update and maintain Technology Control Plans.</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Provide communications, awareness, and training to company personnel.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Monitor and improve compliance with ITAR, EAR, Customs, and OFAC.</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Track status of all export authorization requests from internal request to Government approval to close of license/authorization.</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Maintain complete and accurate documentation and record of export and custom related activities, including records of all technical data transfers, defense services provided, ITAR exemptions and EAR exceptions used and that an adequate audit trail is maintained. Ensure records are maintained for the required period of time. Ensure that record system allows for control and retrieval of information in regards to the ITAR, EAR, and other laws and regulatory requirements.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Review proposed international shipments and receipt of goods, ensuring compliance with export/import regulations.</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Provide day-to-day assistance to business units on compliance with ITAR, EAR, OFAC and other import/export laws. Provide ongoing oversight of the company’s export activities, including self-audits, as appropriate to assess compliance with ITAR, EAR, OFAC and other customs/export laws. Ensure all regulatory requirements related to import/export of controlled items, information, and/or services are maintained and documented.</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Brief employees on license/agreement provisos/limitations.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Prepare and conduct in-house programs consistent with corporate guidance, policy and procedures and audits to assure compliance with U.S. laws and regulations, including ITAR, EAR, and OFAC.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Develop training programs, training personnel, and maintaining training records.</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lastRenderedPageBreak/>
        <w:t>Assist in review or policies, procedures and systems to manage day-to-day import/export compliance.</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Participate in compliance audits and/or investigations of export and import activities.</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 xml:space="preserve">Serve as focal point for U.S. Export and Customs inquiries. </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Work with export broker to ensure that export documentation (e.g. shipping export declarations, AES transmissions, etc…) are properly completed and maintained.</w:t>
      </w:r>
    </w:p>
    <w:p w:rsidR="0053288B" w:rsidRDefault="0053288B" w:rsidP="0053288B">
      <w:pPr>
        <w:numPr>
          <w:ilvl w:val="0"/>
          <w:numId w:val="1"/>
        </w:numPr>
        <w:spacing w:before="100" w:beforeAutospacing="1" w:after="100" w:afterAutospacing="1"/>
        <w:ind w:left="525"/>
        <w:rPr>
          <w:rFonts w:ascii="Arial" w:hAnsi="Arial" w:cs="Arial"/>
          <w:color w:val="434343"/>
        </w:rPr>
      </w:pPr>
      <w:r>
        <w:rPr>
          <w:rFonts w:ascii="Arial" w:hAnsi="Arial" w:cs="Arial"/>
          <w:color w:val="434343"/>
        </w:rPr>
        <w:t>Other duties as assigned.</w:t>
      </w:r>
    </w:p>
    <w:p w:rsidR="0053288B" w:rsidRDefault="0053288B" w:rsidP="0053288B">
      <w:pPr>
        <w:spacing w:before="100" w:beforeAutospacing="1" w:after="100" w:afterAutospacing="1"/>
        <w:ind w:left="525"/>
        <w:rPr>
          <w:rFonts w:ascii="Arial" w:hAnsi="Arial" w:cs="Arial"/>
          <w:color w:val="434343"/>
        </w:rPr>
      </w:pPr>
    </w:p>
    <w:p w:rsidR="0053288B" w:rsidRDefault="0053288B" w:rsidP="0053288B">
      <w:pPr>
        <w:rPr>
          <w:rFonts w:ascii="Arial" w:hAnsi="Arial" w:cs="Arial"/>
          <w:color w:val="434343"/>
        </w:rPr>
      </w:pPr>
      <w:r>
        <w:rPr>
          <w:rFonts w:ascii="Arial" w:hAnsi="Arial" w:cs="Arial"/>
          <w:b/>
          <w:bCs/>
          <w:color w:val="434343"/>
        </w:rPr>
        <w:t>Qualifications:</w:t>
      </w:r>
    </w:p>
    <w:p w:rsidR="0053288B" w:rsidRDefault="0053288B" w:rsidP="0053288B">
      <w:pPr>
        <w:numPr>
          <w:ilvl w:val="0"/>
          <w:numId w:val="2"/>
        </w:numPr>
        <w:spacing w:before="100" w:beforeAutospacing="1" w:after="100" w:afterAutospacing="1"/>
        <w:ind w:left="525"/>
        <w:rPr>
          <w:rFonts w:ascii="Arial" w:hAnsi="Arial" w:cs="Arial"/>
          <w:color w:val="434343"/>
        </w:rPr>
      </w:pPr>
      <w:r>
        <w:rPr>
          <w:rFonts w:ascii="Arial" w:hAnsi="Arial" w:cs="Arial"/>
          <w:color w:val="434343"/>
        </w:rPr>
        <w:t xml:space="preserve">Must have detailed and extensive knowledge and experience with ITAR, EAR, OFAC, Customs, and other U.S. and Non-U.S. laws and regulations dealing with export, customs, and sanctions. </w:t>
      </w:r>
    </w:p>
    <w:p w:rsidR="0053288B" w:rsidRDefault="0053288B" w:rsidP="0053288B">
      <w:pPr>
        <w:numPr>
          <w:ilvl w:val="0"/>
          <w:numId w:val="2"/>
        </w:numPr>
        <w:spacing w:before="100" w:beforeAutospacing="1" w:after="100" w:afterAutospacing="1"/>
        <w:ind w:left="525"/>
        <w:rPr>
          <w:rFonts w:ascii="Arial" w:hAnsi="Arial" w:cs="Arial"/>
          <w:color w:val="434343"/>
        </w:rPr>
      </w:pPr>
      <w:r>
        <w:rPr>
          <w:rFonts w:ascii="Arial" w:hAnsi="Arial" w:cs="Arial"/>
          <w:color w:val="434343"/>
        </w:rPr>
        <w:t>Direct and extensive experience in Departments of State and Commerce export licenses and agreement preparation, submission, management, and recordkeeping.</w:t>
      </w:r>
    </w:p>
    <w:p w:rsidR="0053288B" w:rsidRDefault="0053288B" w:rsidP="0053288B">
      <w:pPr>
        <w:numPr>
          <w:ilvl w:val="0"/>
          <w:numId w:val="2"/>
        </w:numPr>
        <w:spacing w:before="100" w:beforeAutospacing="1" w:after="100" w:afterAutospacing="1"/>
        <w:ind w:left="525"/>
        <w:rPr>
          <w:rFonts w:ascii="Arial" w:hAnsi="Arial" w:cs="Arial"/>
          <w:color w:val="434343"/>
        </w:rPr>
      </w:pPr>
      <w:r>
        <w:rPr>
          <w:rFonts w:ascii="Arial" w:hAnsi="Arial" w:cs="Arial"/>
          <w:color w:val="434343"/>
        </w:rPr>
        <w:t xml:space="preserve">Direct experience with preparation of licensing for defense articles and defense technical data and with preparation of Technical Assistance Agreements, CJs, and GCs. </w:t>
      </w:r>
    </w:p>
    <w:p w:rsidR="0053288B" w:rsidRDefault="0053288B" w:rsidP="0053288B">
      <w:pPr>
        <w:spacing w:after="240"/>
        <w:rPr>
          <w:rFonts w:ascii="Arial" w:hAnsi="Arial" w:cs="Arial"/>
          <w:color w:val="434343"/>
        </w:rPr>
      </w:pPr>
    </w:p>
    <w:p w:rsidR="0053288B" w:rsidRDefault="0053288B" w:rsidP="0053288B">
      <w:pPr>
        <w:rPr>
          <w:rFonts w:ascii="Arial" w:hAnsi="Arial" w:cs="Arial"/>
          <w:color w:val="434343"/>
        </w:rPr>
      </w:pPr>
      <w:r>
        <w:rPr>
          <w:rFonts w:ascii="Arial" w:hAnsi="Arial" w:cs="Arial"/>
          <w:b/>
          <w:bCs/>
          <w:color w:val="434343"/>
        </w:rPr>
        <w:t>Education and Experience:</w:t>
      </w:r>
    </w:p>
    <w:p w:rsidR="0053288B" w:rsidRDefault="0053288B" w:rsidP="0053288B">
      <w:pPr>
        <w:numPr>
          <w:ilvl w:val="0"/>
          <w:numId w:val="3"/>
        </w:numPr>
        <w:spacing w:before="100" w:beforeAutospacing="1" w:after="100" w:afterAutospacing="1"/>
        <w:ind w:left="525"/>
        <w:rPr>
          <w:rFonts w:ascii="Arial" w:hAnsi="Arial" w:cs="Arial"/>
          <w:color w:val="434343"/>
        </w:rPr>
      </w:pPr>
      <w:r>
        <w:rPr>
          <w:rFonts w:ascii="Arial" w:hAnsi="Arial" w:cs="Arial"/>
          <w:color w:val="434343"/>
        </w:rPr>
        <w:t xml:space="preserve">Bachelor’s Degree required. </w:t>
      </w:r>
    </w:p>
    <w:p w:rsidR="0053288B" w:rsidRDefault="0053288B" w:rsidP="0053288B">
      <w:pPr>
        <w:numPr>
          <w:ilvl w:val="0"/>
          <w:numId w:val="3"/>
        </w:numPr>
        <w:spacing w:before="100" w:beforeAutospacing="1" w:after="100" w:afterAutospacing="1"/>
        <w:ind w:left="525"/>
        <w:rPr>
          <w:rFonts w:ascii="Arial" w:hAnsi="Arial" w:cs="Arial"/>
          <w:color w:val="434343"/>
        </w:rPr>
      </w:pPr>
      <w:r>
        <w:rPr>
          <w:rFonts w:ascii="Arial" w:hAnsi="Arial" w:cs="Arial"/>
          <w:color w:val="434343"/>
        </w:rPr>
        <w:t>Minimum ten (10) years of solid experience in ITAR, EAR, and OFAC.</w:t>
      </w:r>
    </w:p>
    <w:p w:rsidR="0053288B" w:rsidRDefault="0053288B" w:rsidP="0053288B">
      <w:pPr>
        <w:spacing w:after="240"/>
        <w:rPr>
          <w:rFonts w:ascii="Arial" w:hAnsi="Arial" w:cs="Arial"/>
          <w:color w:val="434343"/>
        </w:rPr>
      </w:pPr>
    </w:p>
    <w:p w:rsidR="0053288B" w:rsidRDefault="0053288B" w:rsidP="0053288B">
      <w:pPr>
        <w:rPr>
          <w:rFonts w:ascii="Arial" w:hAnsi="Arial" w:cs="Arial"/>
          <w:color w:val="434343"/>
        </w:rPr>
      </w:pPr>
      <w:r>
        <w:rPr>
          <w:rFonts w:ascii="Arial" w:hAnsi="Arial" w:cs="Arial"/>
          <w:b/>
          <w:bCs/>
          <w:color w:val="434343"/>
        </w:rPr>
        <w:t>Language Skills:</w:t>
      </w:r>
    </w:p>
    <w:p w:rsidR="0053288B" w:rsidRDefault="0053288B" w:rsidP="0053288B">
      <w:pPr>
        <w:numPr>
          <w:ilvl w:val="0"/>
          <w:numId w:val="4"/>
        </w:numPr>
        <w:spacing w:before="100" w:beforeAutospacing="1" w:after="100" w:afterAutospacing="1"/>
        <w:ind w:left="525"/>
        <w:rPr>
          <w:rFonts w:ascii="Arial" w:hAnsi="Arial" w:cs="Arial"/>
          <w:color w:val="434343"/>
        </w:rPr>
      </w:pPr>
      <w:r>
        <w:rPr>
          <w:rFonts w:ascii="Arial" w:hAnsi="Arial" w:cs="Arial"/>
          <w:color w:val="434343"/>
        </w:rPr>
        <w:t>Familiarity with German or French a plus.</w:t>
      </w:r>
    </w:p>
    <w:p w:rsidR="0053288B" w:rsidRDefault="0053288B" w:rsidP="0053288B">
      <w:pPr>
        <w:spacing w:after="240"/>
        <w:rPr>
          <w:rFonts w:ascii="Arial" w:hAnsi="Arial" w:cs="Arial"/>
          <w:color w:val="434343"/>
        </w:rPr>
      </w:pPr>
    </w:p>
    <w:p w:rsidR="0053288B" w:rsidRDefault="0053288B" w:rsidP="0053288B">
      <w:pPr>
        <w:rPr>
          <w:rFonts w:ascii="Arial" w:hAnsi="Arial" w:cs="Arial"/>
          <w:color w:val="434343"/>
        </w:rPr>
      </w:pPr>
      <w:r>
        <w:rPr>
          <w:rFonts w:ascii="Arial" w:hAnsi="Arial" w:cs="Arial"/>
          <w:b/>
          <w:bCs/>
          <w:color w:val="434343"/>
        </w:rPr>
        <w:t>Travel Requirements:</w:t>
      </w:r>
    </w:p>
    <w:p w:rsidR="0053288B" w:rsidRDefault="0053288B" w:rsidP="0053288B">
      <w:pPr>
        <w:numPr>
          <w:ilvl w:val="0"/>
          <w:numId w:val="5"/>
        </w:numPr>
        <w:spacing w:before="100" w:beforeAutospacing="1" w:after="100" w:afterAutospacing="1"/>
        <w:ind w:left="525"/>
        <w:rPr>
          <w:rFonts w:ascii="Arial" w:hAnsi="Arial" w:cs="Arial"/>
          <w:color w:val="434343"/>
        </w:rPr>
      </w:pPr>
      <w:r>
        <w:rPr>
          <w:rFonts w:ascii="Arial" w:hAnsi="Arial" w:cs="Arial"/>
          <w:color w:val="434343"/>
        </w:rPr>
        <w:t>Travel as required.</w:t>
      </w:r>
    </w:p>
    <w:p w:rsidR="0053288B" w:rsidRDefault="0053288B" w:rsidP="0053288B">
      <w:pPr>
        <w:spacing w:after="240"/>
        <w:rPr>
          <w:rFonts w:ascii="Arial" w:hAnsi="Arial" w:cs="Arial"/>
          <w:color w:val="434343"/>
        </w:rPr>
      </w:pPr>
    </w:p>
    <w:p w:rsidR="0053288B" w:rsidRDefault="0053288B" w:rsidP="0053288B">
      <w:pPr>
        <w:rPr>
          <w:rFonts w:ascii="Arial" w:hAnsi="Arial" w:cs="Arial"/>
          <w:color w:val="434343"/>
        </w:rPr>
      </w:pPr>
      <w:r>
        <w:rPr>
          <w:rFonts w:ascii="Arial" w:hAnsi="Arial" w:cs="Arial"/>
          <w:b/>
          <w:bCs/>
          <w:color w:val="434343"/>
        </w:rPr>
        <w:t>Vectronix Inc. Is an Equal Opportunity Employer.</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53288B" w:rsidRDefault="0053288B">
      <w:pPr>
        <w:rPr>
          <w:sz w:val="32"/>
          <w:szCs w:val="32"/>
        </w:rPr>
      </w:pPr>
    </w:p>
    <w:p w:rsidR="0053288B" w:rsidRDefault="0053288B">
      <w:pPr>
        <w:rPr>
          <w:sz w:val="32"/>
          <w:szCs w:val="32"/>
        </w:rPr>
      </w:pPr>
      <w:r>
        <w:rPr>
          <w:sz w:val="32"/>
          <w:szCs w:val="32"/>
        </w:rPr>
        <w:t>Payal Chhabra</w:t>
      </w:r>
    </w:p>
    <w:p w:rsidR="0053288B" w:rsidRDefault="0053288B">
      <w:pPr>
        <w:rPr>
          <w:sz w:val="32"/>
          <w:szCs w:val="32"/>
        </w:rPr>
      </w:pPr>
      <w:r>
        <w:rPr>
          <w:sz w:val="32"/>
          <w:szCs w:val="32"/>
        </w:rPr>
        <w:t xml:space="preserve">Sr. HR Generalist </w:t>
      </w:r>
    </w:p>
    <w:p w:rsidR="0053288B" w:rsidRDefault="0053288B">
      <w:pPr>
        <w:rPr>
          <w:sz w:val="32"/>
          <w:szCs w:val="32"/>
        </w:rPr>
      </w:pPr>
      <w:r>
        <w:rPr>
          <w:sz w:val="32"/>
          <w:szCs w:val="32"/>
        </w:rPr>
        <w:t>(703) 777 – 3900</w:t>
      </w:r>
    </w:p>
    <w:p w:rsidR="0053288B" w:rsidRDefault="0053288B">
      <w:pPr>
        <w:rPr>
          <w:sz w:val="32"/>
          <w:szCs w:val="32"/>
        </w:rPr>
      </w:pPr>
      <w:hyperlink r:id="rId7" w:history="1">
        <w:r w:rsidRPr="00ED3F96">
          <w:rPr>
            <w:rStyle w:val="Hyperlink"/>
            <w:sz w:val="32"/>
            <w:szCs w:val="32"/>
          </w:rPr>
          <w:t>recruitment@vectronix.com</w:t>
        </w:r>
      </w:hyperlink>
    </w:p>
    <w:p w:rsidR="0053288B" w:rsidRDefault="00173D3C">
      <w:pPr>
        <w:rPr>
          <w:sz w:val="32"/>
          <w:szCs w:val="32"/>
        </w:rPr>
      </w:pPr>
      <w:hyperlink r:id="rId8" w:history="1">
        <w:r w:rsidRPr="000336E4">
          <w:rPr>
            <w:rStyle w:val="Hyperlink"/>
            <w:sz w:val="32"/>
            <w:szCs w:val="32"/>
          </w:rPr>
          <w:t>www.vectronix.us</w:t>
        </w:r>
      </w:hyperlink>
    </w:p>
    <w:p w:rsidR="00173D3C" w:rsidRDefault="00173D3C">
      <w:pPr>
        <w:rPr>
          <w:sz w:val="32"/>
          <w:szCs w:val="32"/>
        </w:rPr>
      </w:pPr>
    </w:p>
    <w:p w:rsidR="00173D3C" w:rsidRDefault="00173D3C">
      <w:pPr>
        <w:rPr>
          <w:sz w:val="32"/>
          <w:szCs w:val="32"/>
        </w:rPr>
      </w:pPr>
    </w:p>
    <w:p w:rsidR="0053288B" w:rsidRDefault="0053288B">
      <w:pPr>
        <w:rPr>
          <w:sz w:val="32"/>
          <w:szCs w:val="32"/>
        </w:rPr>
      </w:pPr>
      <w:r>
        <w:rPr>
          <w:sz w:val="32"/>
          <w:szCs w:val="32"/>
        </w:rPr>
        <w:t xml:space="preserve">Or </w:t>
      </w:r>
    </w:p>
    <w:p w:rsidR="0053288B" w:rsidRDefault="0053288B">
      <w:pPr>
        <w:rPr>
          <w:sz w:val="32"/>
          <w:szCs w:val="32"/>
        </w:rPr>
      </w:pPr>
    </w:p>
    <w:p w:rsidR="0053288B" w:rsidRDefault="0053288B">
      <w:pPr>
        <w:rPr>
          <w:sz w:val="32"/>
          <w:szCs w:val="32"/>
        </w:rPr>
      </w:pPr>
      <w:r>
        <w:rPr>
          <w:sz w:val="32"/>
          <w:szCs w:val="32"/>
        </w:rPr>
        <w:t>Isabel Nguyen</w:t>
      </w:r>
    </w:p>
    <w:p w:rsidR="0053288B" w:rsidRDefault="0053288B">
      <w:pPr>
        <w:rPr>
          <w:sz w:val="32"/>
          <w:szCs w:val="32"/>
        </w:rPr>
      </w:pPr>
      <w:r>
        <w:rPr>
          <w:sz w:val="32"/>
          <w:szCs w:val="32"/>
        </w:rPr>
        <w:t xml:space="preserve">HR Coordinator </w:t>
      </w:r>
    </w:p>
    <w:p w:rsidR="0053288B" w:rsidRDefault="0053288B">
      <w:pPr>
        <w:rPr>
          <w:sz w:val="32"/>
          <w:szCs w:val="32"/>
        </w:rPr>
      </w:pPr>
      <w:r>
        <w:rPr>
          <w:sz w:val="32"/>
          <w:szCs w:val="32"/>
        </w:rPr>
        <w:t>(703) 777 – 3900</w:t>
      </w:r>
    </w:p>
    <w:p w:rsidR="0053288B" w:rsidRDefault="00173D3C">
      <w:pPr>
        <w:rPr>
          <w:sz w:val="32"/>
          <w:szCs w:val="32"/>
        </w:rPr>
      </w:pPr>
      <w:hyperlink r:id="rId9" w:history="1">
        <w:r w:rsidRPr="000336E4">
          <w:rPr>
            <w:rStyle w:val="Hyperlink"/>
            <w:sz w:val="32"/>
            <w:szCs w:val="32"/>
          </w:rPr>
          <w:t>recruitment@vectronix.com</w:t>
        </w:r>
      </w:hyperlink>
      <w:r w:rsidR="0053288B">
        <w:rPr>
          <w:sz w:val="32"/>
          <w:szCs w:val="32"/>
        </w:rPr>
        <w:t xml:space="preserve"> </w:t>
      </w:r>
      <w:bookmarkStart w:id="0" w:name="_GoBack"/>
      <w:bookmarkEnd w:id="0"/>
    </w:p>
    <w:p w:rsidR="00173D3C" w:rsidRPr="0053288B" w:rsidRDefault="00173D3C">
      <w:pPr>
        <w:rPr>
          <w:sz w:val="32"/>
          <w:szCs w:val="32"/>
        </w:rPr>
      </w:pPr>
      <w:hyperlink r:id="rId10" w:history="1">
        <w:r w:rsidRPr="000336E4">
          <w:rPr>
            <w:rStyle w:val="Hyperlink"/>
            <w:sz w:val="32"/>
            <w:szCs w:val="32"/>
          </w:rPr>
          <w:t>www.vectronix.us</w:t>
        </w:r>
      </w:hyperlink>
      <w:r>
        <w:rPr>
          <w:sz w:val="32"/>
          <w:szCs w:val="32"/>
        </w:rPr>
        <w:t xml:space="preserve"> </w:t>
      </w:r>
    </w:p>
    <w:sectPr w:rsidR="00173D3C" w:rsidRPr="0053288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2607"/>
    <w:multiLevelType w:val="multilevel"/>
    <w:tmpl w:val="046C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31237"/>
    <w:multiLevelType w:val="multilevel"/>
    <w:tmpl w:val="E702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05CC7"/>
    <w:multiLevelType w:val="multilevel"/>
    <w:tmpl w:val="F6D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177E35"/>
    <w:multiLevelType w:val="multilevel"/>
    <w:tmpl w:val="354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742BCA"/>
    <w:multiLevelType w:val="multilevel"/>
    <w:tmpl w:val="415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3C"/>
    <w:rsid w:val="000B5F0C"/>
    <w:rsid w:val="00173D3C"/>
    <w:rsid w:val="00416446"/>
    <w:rsid w:val="0053288B"/>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5328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532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8681">
      <w:bodyDiv w:val="1"/>
      <w:marLeft w:val="0"/>
      <w:marRight w:val="0"/>
      <w:marTop w:val="0"/>
      <w:marBottom w:val="0"/>
      <w:divBdr>
        <w:top w:val="none" w:sz="0" w:space="0" w:color="auto"/>
        <w:left w:val="none" w:sz="0" w:space="0" w:color="auto"/>
        <w:bottom w:val="none" w:sz="0" w:space="0" w:color="auto"/>
        <w:right w:val="none" w:sz="0" w:space="0" w:color="auto"/>
      </w:divBdr>
      <w:divsChild>
        <w:div w:id="1083835463">
          <w:marLeft w:val="0"/>
          <w:marRight w:val="0"/>
          <w:marTop w:val="0"/>
          <w:marBottom w:val="0"/>
          <w:divBdr>
            <w:top w:val="none" w:sz="0" w:space="0" w:color="auto"/>
            <w:left w:val="none" w:sz="0" w:space="0" w:color="auto"/>
            <w:bottom w:val="none" w:sz="0" w:space="0" w:color="auto"/>
            <w:right w:val="none" w:sz="0" w:space="0" w:color="auto"/>
          </w:divBdr>
          <w:divsChild>
            <w:div w:id="492916980">
              <w:marLeft w:val="0"/>
              <w:marRight w:val="0"/>
              <w:marTop w:val="0"/>
              <w:marBottom w:val="0"/>
              <w:divBdr>
                <w:top w:val="none" w:sz="0" w:space="0" w:color="auto"/>
                <w:left w:val="none" w:sz="0" w:space="0" w:color="auto"/>
                <w:bottom w:val="none" w:sz="0" w:space="0" w:color="auto"/>
                <w:right w:val="none" w:sz="0" w:space="0" w:color="auto"/>
              </w:divBdr>
              <w:divsChild>
                <w:div w:id="1420519125">
                  <w:marLeft w:val="0"/>
                  <w:marRight w:val="0"/>
                  <w:marTop w:val="0"/>
                  <w:marBottom w:val="0"/>
                  <w:divBdr>
                    <w:top w:val="none" w:sz="0" w:space="0" w:color="auto"/>
                    <w:left w:val="none" w:sz="0" w:space="0" w:color="auto"/>
                    <w:bottom w:val="none" w:sz="0" w:space="0" w:color="auto"/>
                    <w:right w:val="none" w:sz="0" w:space="0" w:color="auto"/>
                  </w:divBdr>
                  <w:divsChild>
                    <w:div w:id="663314534">
                      <w:marLeft w:val="0"/>
                      <w:marRight w:val="0"/>
                      <w:marTop w:val="0"/>
                      <w:marBottom w:val="0"/>
                      <w:divBdr>
                        <w:top w:val="none" w:sz="0" w:space="0" w:color="auto"/>
                        <w:left w:val="none" w:sz="0" w:space="0" w:color="auto"/>
                        <w:bottom w:val="none" w:sz="0" w:space="0" w:color="auto"/>
                        <w:right w:val="none" w:sz="0" w:space="0" w:color="auto"/>
                      </w:divBdr>
                      <w:divsChild>
                        <w:div w:id="33771447">
                          <w:marLeft w:val="0"/>
                          <w:marRight w:val="0"/>
                          <w:marTop w:val="0"/>
                          <w:marBottom w:val="0"/>
                          <w:divBdr>
                            <w:top w:val="none" w:sz="0" w:space="0" w:color="auto"/>
                            <w:left w:val="none" w:sz="0" w:space="0" w:color="auto"/>
                            <w:bottom w:val="none" w:sz="0" w:space="0" w:color="auto"/>
                            <w:right w:val="none" w:sz="0" w:space="0" w:color="auto"/>
                          </w:divBdr>
                        </w:div>
                        <w:div w:id="119685291">
                          <w:marLeft w:val="0"/>
                          <w:marRight w:val="0"/>
                          <w:marTop w:val="0"/>
                          <w:marBottom w:val="0"/>
                          <w:divBdr>
                            <w:top w:val="none" w:sz="0" w:space="0" w:color="auto"/>
                            <w:left w:val="none" w:sz="0" w:space="0" w:color="auto"/>
                            <w:bottom w:val="none" w:sz="0" w:space="0" w:color="auto"/>
                            <w:right w:val="none" w:sz="0" w:space="0" w:color="auto"/>
                          </w:divBdr>
                        </w:div>
                        <w:div w:id="605498726">
                          <w:marLeft w:val="0"/>
                          <w:marRight w:val="0"/>
                          <w:marTop w:val="0"/>
                          <w:marBottom w:val="0"/>
                          <w:divBdr>
                            <w:top w:val="none" w:sz="0" w:space="0" w:color="auto"/>
                            <w:left w:val="none" w:sz="0" w:space="0" w:color="auto"/>
                            <w:bottom w:val="none" w:sz="0" w:space="0" w:color="auto"/>
                            <w:right w:val="none" w:sz="0" w:space="0" w:color="auto"/>
                          </w:divBdr>
                        </w:div>
                        <w:div w:id="986133666">
                          <w:marLeft w:val="0"/>
                          <w:marRight w:val="0"/>
                          <w:marTop w:val="0"/>
                          <w:marBottom w:val="0"/>
                          <w:divBdr>
                            <w:top w:val="none" w:sz="0" w:space="0" w:color="auto"/>
                            <w:left w:val="none" w:sz="0" w:space="0" w:color="auto"/>
                            <w:bottom w:val="none" w:sz="0" w:space="0" w:color="auto"/>
                            <w:right w:val="none" w:sz="0" w:space="0" w:color="auto"/>
                          </w:divBdr>
                        </w:div>
                        <w:div w:id="1020660657">
                          <w:marLeft w:val="0"/>
                          <w:marRight w:val="0"/>
                          <w:marTop w:val="0"/>
                          <w:marBottom w:val="0"/>
                          <w:divBdr>
                            <w:top w:val="none" w:sz="0" w:space="0" w:color="auto"/>
                            <w:left w:val="none" w:sz="0" w:space="0" w:color="auto"/>
                            <w:bottom w:val="none" w:sz="0" w:space="0" w:color="auto"/>
                            <w:right w:val="none" w:sz="0" w:space="0" w:color="auto"/>
                          </w:divBdr>
                        </w:div>
                        <w:div w:id="1572081129">
                          <w:marLeft w:val="0"/>
                          <w:marRight w:val="0"/>
                          <w:marTop w:val="0"/>
                          <w:marBottom w:val="0"/>
                          <w:divBdr>
                            <w:top w:val="none" w:sz="0" w:space="0" w:color="auto"/>
                            <w:left w:val="none" w:sz="0" w:space="0" w:color="auto"/>
                            <w:bottom w:val="none" w:sz="0" w:space="0" w:color="auto"/>
                            <w:right w:val="none" w:sz="0" w:space="0" w:color="auto"/>
                          </w:divBdr>
                        </w:div>
                        <w:div w:id="1599755135">
                          <w:marLeft w:val="0"/>
                          <w:marRight w:val="0"/>
                          <w:marTop w:val="0"/>
                          <w:marBottom w:val="0"/>
                          <w:divBdr>
                            <w:top w:val="none" w:sz="0" w:space="0" w:color="auto"/>
                            <w:left w:val="none" w:sz="0" w:space="0" w:color="auto"/>
                            <w:bottom w:val="none" w:sz="0" w:space="0" w:color="auto"/>
                            <w:right w:val="none" w:sz="0" w:space="0" w:color="auto"/>
                          </w:divBdr>
                        </w:div>
                        <w:div w:id="1821731357">
                          <w:marLeft w:val="0"/>
                          <w:marRight w:val="0"/>
                          <w:marTop w:val="0"/>
                          <w:marBottom w:val="0"/>
                          <w:divBdr>
                            <w:top w:val="none" w:sz="0" w:space="0" w:color="auto"/>
                            <w:left w:val="none" w:sz="0" w:space="0" w:color="auto"/>
                            <w:bottom w:val="none" w:sz="0" w:space="0" w:color="auto"/>
                            <w:right w:val="none" w:sz="0" w:space="0" w:color="auto"/>
                          </w:divBdr>
                        </w:div>
                        <w:div w:id="18617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ectronix.us" TargetMode="External"/><Relationship Id="rId3" Type="http://schemas.microsoft.com/office/2007/relationships/stylesWithEffects" Target="stylesWithEffects.xml"/><Relationship Id="rId7" Type="http://schemas.openxmlformats.org/officeDocument/2006/relationships/hyperlink" Target="mailto:recruitment@vectroni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ectronix.us" TargetMode="External"/><Relationship Id="rId4" Type="http://schemas.openxmlformats.org/officeDocument/2006/relationships/settings" Target="settings.xml"/><Relationship Id="rId9" Type="http://schemas.openxmlformats.org/officeDocument/2006/relationships/hyperlink" Target="mailto:recruitment@vectroni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uyen\Documents\Recruiting\Sr.%20ECO%20-%20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 ECO - ICPA_Job_Form.dot</Template>
  <TotalTime>2</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6043</CharactersWithSpaces>
  <SharedDoc>false</SharedDoc>
  <HLinks>
    <vt:vector size="12" baseType="variant">
      <vt:variant>
        <vt:i4>1835041</vt:i4>
      </vt:variant>
      <vt:variant>
        <vt:i4>3</vt:i4>
      </vt:variant>
      <vt:variant>
        <vt:i4>0</vt:i4>
      </vt:variant>
      <vt:variant>
        <vt:i4>5</vt:i4>
      </vt:variant>
      <vt:variant>
        <vt:lpwstr>mailto:recruitment@vectronix.com</vt:lpwstr>
      </vt:variant>
      <vt:variant>
        <vt:lpwstr/>
      </vt:variant>
      <vt:variant>
        <vt:i4>1835041</vt:i4>
      </vt:variant>
      <vt:variant>
        <vt:i4>0</vt:i4>
      </vt:variant>
      <vt:variant>
        <vt:i4>0</vt:i4>
      </vt:variant>
      <vt:variant>
        <vt:i4>5</vt:i4>
      </vt:variant>
      <vt:variant>
        <vt:lpwstr>mailto:recruitment@vectronix.com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2013-08-07T18:40:00Z</dcterms:created>
  <dcterms:modified xsi:type="dcterms:W3CDTF">2013-08-07T18:42:00Z</dcterms:modified>
</cp:coreProperties>
</file>