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416446" w:rsidRDefault="00484903">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4" o:title="ICPA Logo - 300 dpi"/>
          </v:shape>
        </w:pict>
      </w:r>
    </w:p>
    <w:p w:rsidR="00416446" w:rsidRPr="00416446" w:rsidRDefault="00484903">
      <w:pPr>
        <w:rPr>
          <w:b/>
          <w:sz w:val="44"/>
          <w:szCs w:val="44"/>
        </w:rPr>
      </w:pPr>
    </w:p>
    <w:p w:rsidR="00416446" w:rsidRPr="00416446" w:rsidRDefault="00484903" w:rsidP="000B5F0C">
      <w:pPr>
        <w:jc w:val="center"/>
        <w:outlineLvl w:val="0"/>
        <w:rPr>
          <w:b/>
          <w:sz w:val="44"/>
          <w:szCs w:val="44"/>
        </w:rPr>
      </w:pPr>
      <w:r w:rsidRPr="00416446">
        <w:rPr>
          <w:b/>
          <w:sz w:val="44"/>
          <w:szCs w:val="44"/>
        </w:rPr>
        <w:t>Job Opportunity</w:t>
      </w:r>
    </w:p>
    <w:p w:rsidR="00416446" w:rsidRDefault="00484903"/>
    <w:p w:rsidR="00416446" w:rsidRDefault="0048490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448"/>
        <w:gridCol w:w="6408"/>
      </w:tblGrid>
      <w:tr w:rsidR="00B418E6" w:rsidTr="00534443">
        <w:tc>
          <w:tcPr>
            <w:tcW w:w="2448" w:type="dxa"/>
          </w:tcPr>
          <w:p w:rsidR="00B418E6" w:rsidRDefault="00484903">
            <w:r>
              <w:t>Company</w:t>
            </w:r>
          </w:p>
        </w:tc>
        <w:tc>
          <w:tcPr>
            <w:tcW w:w="6408" w:type="dxa"/>
          </w:tcPr>
          <w:p w:rsidR="00B418E6" w:rsidRDefault="00484903">
            <w:r>
              <w:t>Ingersoll Rand</w:t>
            </w:r>
          </w:p>
        </w:tc>
      </w:tr>
      <w:tr w:rsidR="00B418E6" w:rsidTr="00534443">
        <w:tc>
          <w:tcPr>
            <w:tcW w:w="2448" w:type="dxa"/>
          </w:tcPr>
          <w:p w:rsidR="00B418E6" w:rsidRDefault="00484903">
            <w:r>
              <w:t>Job Title</w:t>
            </w:r>
          </w:p>
        </w:tc>
        <w:tc>
          <w:tcPr>
            <w:tcW w:w="6408" w:type="dxa"/>
          </w:tcPr>
          <w:p w:rsidR="00B418E6" w:rsidRDefault="00484903">
            <w:r>
              <w:t>Trade Compliance Analyst</w:t>
            </w:r>
          </w:p>
        </w:tc>
      </w:tr>
      <w:tr w:rsidR="00B418E6" w:rsidTr="00534443">
        <w:tc>
          <w:tcPr>
            <w:tcW w:w="2448" w:type="dxa"/>
          </w:tcPr>
          <w:p w:rsidR="00B418E6" w:rsidRDefault="00484903">
            <w:r>
              <w:t>Location</w:t>
            </w:r>
          </w:p>
        </w:tc>
        <w:tc>
          <w:tcPr>
            <w:tcW w:w="6408" w:type="dxa"/>
          </w:tcPr>
          <w:p w:rsidR="00B418E6" w:rsidRDefault="00484903">
            <w:r>
              <w:t>Otay Mesa, CA</w:t>
            </w:r>
          </w:p>
        </w:tc>
      </w:tr>
      <w:tr w:rsidR="00B418E6" w:rsidTr="00534443">
        <w:tc>
          <w:tcPr>
            <w:tcW w:w="2448" w:type="dxa"/>
          </w:tcPr>
          <w:p w:rsidR="00B418E6" w:rsidRDefault="00484903">
            <w:r>
              <w:t>Salary Range</w:t>
            </w:r>
          </w:p>
        </w:tc>
        <w:tc>
          <w:tcPr>
            <w:tcW w:w="6408" w:type="dxa"/>
          </w:tcPr>
          <w:p w:rsidR="00B418E6" w:rsidRDefault="00484903">
            <w:r>
              <w:t>Negotiable</w:t>
            </w:r>
          </w:p>
        </w:tc>
      </w:tr>
      <w:tr w:rsidR="00B418E6" w:rsidTr="00534443">
        <w:tc>
          <w:tcPr>
            <w:tcW w:w="2448" w:type="dxa"/>
          </w:tcPr>
          <w:p w:rsidR="00B418E6" w:rsidRDefault="00484903">
            <w:r>
              <w:t>Relocation Assistance</w:t>
            </w:r>
          </w:p>
        </w:tc>
        <w:tc>
          <w:tcPr>
            <w:tcW w:w="6408" w:type="dxa"/>
          </w:tcPr>
          <w:p w:rsidR="00B418E6" w:rsidRDefault="00484903">
            <w:r>
              <w:t>Yes</w:t>
            </w:r>
          </w:p>
        </w:tc>
      </w:tr>
    </w:tbl>
    <w:p w:rsidR="00D33F69" w:rsidRDefault="00484903"/>
    <w:p w:rsidR="00416446" w:rsidRDefault="00484903"/>
    <w:p w:rsidR="00416446" w:rsidRDefault="00484903"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484903">
      <w:pPr>
        <w:rPr>
          <w:b/>
          <w:sz w:val="32"/>
          <w:szCs w:val="32"/>
          <w:u w:val="single"/>
        </w:rPr>
      </w:pPr>
    </w:p>
    <w:tbl>
      <w:tblPr>
        <w:tblW w:w="5000" w:type="pct"/>
        <w:jc w:val="center"/>
        <w:tblCellSpacing w:w="7" w:type="dxa"/>
        <w:tblCellMar>
          <w:top w:w="30" w:type="dxa"/>
          <w:left w:w="30" w:type="dxa"/>
          <w:bottom w:w="30" w:type="dxa"/>
          <w:right w:w="30" w:type="dxa"/>
        </w:tblCellMar>
        <w:tblLook w:val="04A0"/>
      </w:tblPr>
      <w:tblGrid>
        <w:gridCol w:w="8803"/>
      </w:tblGrid>
      <w:tr w:rsidR="0096268C">
        <w:trPr>
          <w:tblCellSpacing w:w="7" w:type="dxa"/>
          <w:jc w:val="center"/>
        </w:trPr>
        <w:tc>
          <w:tcPr>
            <w:tcW w:w="0" w:type="auto"/>
            <w:tcMar>
              <w:top w:w="30" w:type="dxa"/>
              <w:left w:w="30" w:type="dxa"/>
              <w:bottom w:w="30" w:type="dxa"/>
              <w:right w:w="75" w:type="dxa"/>
            </w:tcMar>
            <w:vAlign w:val="center"/>
            <w:hideMark/>
          </w:tcPr>
          <w:p w:rsidR="0096268C" w:rsidRDefault="00484903">
            <w:pPr>
              <w:rPr>
                <w:rFonts w:ascii="Arial" w:hAnsi="Arial" w:cs="Arial"/>
                <w:b/>
                <w:bCs/>
              </w:rPr>
            </w:pPr>
            <w:r>
              <w:rPr>
                <w:rFonts w:ascii="Arial" w:hAnsi="Arial" w:cs="Arial"/>
                <w:b/>
                <w:bCs/>
              </w:rPr>
              <w:t xml:space="preserve">Full Description: </w:t>
            </w:r>
          </w:p>
        </w:tc>
      </w:tr>
      <w:tr w:rsidR="0096268C">
        <w:trPr>
          <w:trHeight w:val="120"/>
          <w:tblCellSpacing w:w="7" w:type="dxa"/>
          <w:jc w:val="center"/>
        </w:trPr>
        <w:tc>
          <w:tcPr>
            <w:tcW w:w="0" w:type="auto"/>
            <w:vAlign w:val="center"/>
            <w:hideMark/>
          </w:tcPr>
          <w:p w:rsidR="0096268C" w:rsidRDefault="00484903">
            <w:pPr>
              <w:rPr>
                <w:rFonts w:ascii="Verdana" w:hAnsi="Verdana"/>
                <w:sz w:val="12"/>
              </w:rPr>
            </w:pPr>
          </w:p>
        </w:tc>
      </w:tr>
      <w:tr w:rsidR="0096268C" w:rsidRPr="0096268C">
        <w:trPr>
          <w:tblCellSpacing w:w="7" w:type="dxa"/>
          <w:jc w:val="center"/>
        </w:trPr>
        <w:tc>
          <w:tcPr>
            <w:tcW w:w="0" w:type="auto"/>
            <w:vAlign w:val="center"/>
            <w:hideMark/>
          </w:tcPr>
          <w:tbl>
            <w:tblPr>
              <w:tblW w:w="5000" w:type="pct"/>
              <w:tblCellSpacing w:w="0" w:type="dxa"/>
              <w:shd w:val="clear" w:color="auto" w:fill="F0F0F0"/>
              <w:tblCellMar>
                <w:top w:w="30" w:type="dxa"/>
                <w:left w:w="30" w:type="dxa"/>
                <w:bottom w:w="30" w:type="dxa"/>
                <w:right w:w="30" w:type="dxa"/>
              </w:tblCellMar>
              <w:tblLook w:val="04A0"/>
            </w:tblPr>
            <w:tblGrid>
              <w:gridCol w:w="8685"/>
            </w:tblGrid>
            <w:tr w:rsidR="0096268C" w:rsidRPr="0096268C">
              <w:trPr>
                <w:tblCellSpacing w:w="0" w:type="dxa"/>
              </w:trPr>
              <w:tc>
                <w:tcPr>
                  <w:tcW w:w="0" w:type="auto"/>
                  <w:shd w:val="clear" w:color="auto" w:fill="F0F0F0"/>
                  <w:tcMar>
                    <w:top w:w="15" w:type="dxa"/>
                    <w:left w:w="75" w:type="dxa"/>
                    <w:bottom w:w="15" w:type="dxa"/>
                    <w:right w:w="75" w:type="dxa"/>
                  </w:tcMar>
                  <w:vAlign w:val="center"/>
                  <w:hideMark/>
                </w:tcPr>
                <w:p w:rsidR="0096268C" w:rsidRPr="0096268C" w:rsidRDefault="00484903">
                  <w:pPr>
                    <w:rPr>
                      <w:caps/>
                      <w:color w:val="C0C0C0"/>
                      <w:spacing w:val="75"/>
                    </w:rPr>
                  </w:pPr>
                  <w:r w:rsidRPr="0096268C">
                    <w:rPr>
                      <w:b/>
                      <w:bCs/>
                      <w:caps/>
                      <w:color w:val="C0C0C0"/>
                      <w:spacing w:val="75"/>
                    </w:rPr>
                    <w:t>Opening:</w:t>
                  </w:r>
                  <w:r w:rsidRPr="0096268C">
                    <w:rPr>
                      <w:caps/>
                      <w:color w:val="C0C0C0"/>
                      <w:spacing w:val="75"/>
                    </w:rPr>
                    <w:t xml:space="preserve"> </w:t>
                  </w:r>
                </w:p>
              </w:tc>
            </w:tr>
            <w:tr w:rsidR="0096268C" w:rsidRPr="0096268C">
              <w:trPr>
                <w:tblCellSpacing w:w="0" w:type="dxa"/>
              </w:trPr>
              <w:tc>
                <w:tcPr>
                  <w:tcW w:w="0" w:type="auto"/>
                  <w:shd w:val="clear" w:color="auto" w:fill="FFFFFF"/>
                  <w:tcMar>
                    <w:top w:w="30" w:type="dxa"/>
                    <w:left w:w="135" w:type="dxa"/>
                    <w:bottom w:w="30" w:type="dxa"/>
                    <w:right w:w="135" w:type="dxa"/>
                  </w:tcMar>
                  <w:vAlign w:val="center"/>
                  <w:hideMark/>
                </w:tcPr>
                <w:p w:rsidR="0096268C" w:rsidRPr="0096268C" w:rsidRDefault="00484903">
                  <w:pPr>
                    <w:spacing w:after="200"/>
                  </w:pPr>
                  <w:r w:rsidRPr="0096268C">
                    <w:t xml:space="preserve">At Ingersoll </w:t>
                  </w:r>
                  <w:r w:rsidRPr="0096268C">
                    <w:t xml:space="preserve">Rand we’re passionate about inspiring progress around the world.  We know that hour by hour and day by day, we advance the quality of life by making environments safe, comfortable and efficient. Our people and our market leading brands, including </w:t>
                  </w:r>
                  <w:r w:rsidRPr="0096268C">
                    <w:fldChar w:fldCharType="begin"/>
                  </w:r>
                  <w:r w:rsidRPr="0096268C">
                    <w:instrText xml:space="preserve"> HYPERLI</w:instrText>
                  </w:r>
                  <w:r w:rsidRPr="0096268C">
                    <w:instrText xml:space="preserve">NK "http://www.clubcar.com/Pages/default.aspx" \t "_blank" </w:instrText>
                  </w:r>
                  <w:r w:rsidRPr="0096268C">
                    <w:fldChar w:fldCharType="separate"/>
                  </w:r>
                  <w:r w:rsidRPr="0096268C">
                    <w:rPr>
                      <w:rStyle w:val="Hyperlink"/>
                      <w:color w:val="0000FF"/>
                    </w:rPr>
                    <w:t>Club Car®</w:t>
                  </w:r>
                  <w:r w:rsidRPr="0096268C">
                    <w:fldChar w:fldCharType="end"/>
                  </w:r>
                  <w:r w:rsidRPr="0096268C">
                    <w:t xml:space="preserve">, </w:t>
                  </w:r>
                  <w:r w:rsidRPr="0096268C">
                    <w:fldChar w:fldCharType="begin"/>
                  </w:r>
                  <w:r w:rsidRPr="0096268C">
                    <w:instrText xml:space="preserve"> HYPERLINK "http://www.ingersollrandproducts.com/" \t "_blank" </w:instrText>
                  </w:r>
                  <w:r w:rsidRPr="0096268C">
                    <w:fldChar w:fldCharType="separate"/>
                  </w:r>
                  <w:r w:rsidRPr="0096268C">
                    <w:rPr>
                      <w:rStyle w:val="Hyperlink"/>
                    </w:rPr>
                    <w:t>Ingersoll Rand®</w:t>
                  </w:r>
                  <w:r w:rsidRPr="0096268C">
                    <w:fldChar w:fldCharType="end"/>
                  </w:r>
                  <w:r w:rsidRPr="0096268C">
                    <w:t>, </w:t>
                  </w:r>
                  <w:proofErr w:type="spellStart"/>
                  <w:r w:rsidRPr="0096268C">
                    <w:fldChar w:fldCharType="begin"/>
                  </w:r>
                  <w:r w:rsidRPr="0096268C">
                    <w:instrText xml:space="preserve"> HYPERLINK "http://www.schlage.com/" \t "_blank" </w:instrText>
                  </w:r>
                  <w:r w:rsidRPr="0096268C">
                    <w:fldChar w:fldCharType="separate"/>
                  </w:r>
                  <w:r w:rsidRPr="0096268C">
                    <w:rPr>
                      <w:rStyle w:val="Hyperlink"/>
                      <w:color w:val="0000FF"/>
                    </w:rPr>
                    <w:t>Schlage</w:t>
                  </w:r>
                  <w:proofErr w:type="spellEnd"/>
                  <w:r w:rsidRPr="0096268C">
                    <w:rPr>
                      <w:rStyle w:val="Hyperlink"/>
                      <w:color w:val="0000FF"/>
                    </w:rPr>
                    <w:t>®</w:t>
                  </w:r>
                  <w:r w:rsidRPr="0096268C">
                    <w:fldChar w:fldCharType="end"/>
                  </w:r>
                  <w:r w:rsidRPr="0096268C">
                    <w:t xml:space="preserve">,  </w:t>
                  </w:r>
                  <w:r w:rsidRPr="0096268C">
                    <w:fldChar w:fldCharType="begin"/>
                  </w:r>
                  <w:r w:rsidRPr="0096268C">
                    <w:instrText xml:space="preserve"> HYPERLINK "http://www.thermoking.com</w:instrText>
                  </w:r>
                  <w:r w:rsidRPr="0096268C">
                    <w:instrText xml:space="preserve">/" \t "_blank" </w:instrText>
                  </w:r>
                  <w:r w:rsidRPr="0096268C">
                    <w:fldChar w:fldCharType="separate"/>
                  </w:r>
                  <w:r w:rsidRPr="0096268C">
                    <w:rPr>
                      <w:rStyle w:val="Hyperlink"/>
                      <w:color w:val="0000FF"/>
                    </w:rPr>
                    <w:t>Thermo King®</w:t>
                  </w:r>
                  <w:r w:rsidRPr="0096268C">
                    <w:fldChar w:fldCharType="end"/>
                  </w:r>
                  <w:r w:rsidRPr="0096268C">
                    <w:t xml:space="preserve">, and </w:t>
                  </w:r>
                  <w:r w:rsidRPr="0096268C">
                    <w:fldChar w:fldCharType="begin"/>
                  </w:r>
                  <w:r w:rsidRPr="0096268C">
                    <w:instrText xml:space="preserve"> HYPERLINK "http://www.trane.com/Residential/Why-Trane/Proof-Of-Reliability" \t "blank" </w:instrText>
                  </w:r>
                  <w:r w:rsidRPr="0096268C">
                    <w:fldChar w:fldCharType="separate"/>
                  </w:r>
                  <w:r w:rsidRPr="0096268C">
                    <w:rPr>
                      <w:rStyle w:val="Hyperlink"/>
                      <w:color w:val="0000FF"/>
                    </w:rPr>
                    <w:t>Trane®</w:t>
                  </w:r>
                  <w:r w:rsidRPr="0096268C">
                    <w:fldChar w:fldCharType="end"/>
                  </w:r>
                  <w:r w:rsidRPr="0096268C">
                    <w:t>, contribute to a world defined by sustainable progress and enduring results.</w:t>
                  </w:r>
                </w:p>
              </w:tc>
            </w:tr>
          </w:tbl>
          <w:p w:rsidR="0096268C" w:rsidRPr="0096268C" w:rsidRDefault="00484903"/>
        </w:tc>
      </w:tr>
      <w:tr w:rsidR="0096268C" w:rsidRPr="0096268C">
        <w:trPr>
          <w:tblCellSpacing w:w="7" w:type="dxa"/>
          <w:jc w:val="center"/>
        </w:trPr>
        <w:tc>
          <w:tcPr>
            <w:tcW w:w="0" w:type="auto"/>
            <w:vAlign w:val="center"/>
            <w:hideMark/>
          </w:tcPr>
          <w:tbl>
            <w:tblPr>
              <w:tblW w:w="5000" w:type="pct"/>
              <w:tblCellSpacing w:w="0" w:type="dxa"/>
              <w:shd w:val="clear" w:color="auto" w:fill="F0F0F0"/>
              <w:tblCellMar>
                <w:top w:w="30" w:type="dxa"/>
                <w:left w:w="30" w:type="dxa"/>
                <w:bottom w:w="30" w:type="dxa"/>
                <w:right w:w="30" w:type="dxa"/>
              </w:tblCellMar>
              <w:tblLook w:val="04A0"/>
            </w:tblPr>
            <w:tblGrid>
              <w:gridCol w:w="8685"/>
            </w:tblGrid>
            <w:tr w:rsidR="0096268C" w:rsidRPr="0096268C">
              <w:trPr>
                <w:tblCellSpacing w:w="0" w:type="dxa"/>
              </w:trPr>
              <w:tc>
                <w:tcPr>
                  <w:tcW w:w="0" w:type="auto"/>
                  <w:shd w:val="clear" w:color="auto" w:fill="F0F0F0"/>
                  <w:tcMar>
                    <w:top w:w="15" w:type="dxa"/>
                    <w:left w:w="75" w:type="dxa"/>
                    <w:bottom w:w="15" w:type="dxa"/>
                    <w:right w:w="75" w:type="dxa"/>
                  </w:tcMar>
                  <w:vAlign w:val="center"/>
                  <w:hideMark/>
                </w:tcPr>
                <w:p w:rsidR="0096268C" w:rsidRPr="0096268C" w:rsidRDefault="00484903">
                  <w:pPr>
                    <w:rPr>
                      <w:caps/>
                      <w:color w:val="C0C0C0"/>
                      <w:spacing w:val="75"/>
                    </w:rPr>
                  </w:pPr>
                  <w:r w:rsidRPr="0096268C">
                    <w:rPr>
                      <w:b/>
                      <w:bCs/>
                      <w:caps/>
                      <w:color w:val="C0C0C0"/>
                      <w:spacing w:val="75"/>
                    </w:rPr>
                    <w:t>Description:</w:t>
                  </w:r>
                  <w:r w:rsidRPr="0096268C">
                    <w:rPr>
                      <w:caps/>
                      <w:color w:val="C0C0C0"/>
                      <w:spacing w:val="75"/>
                    </w:rPr>
                    <w:t xml:space="preserve"> </w:t>
                  </w:r>
                </w:p>
              </w:tc>
            </w:tr>
            <w:tr w:rsidR="0096268C" w:rsidRPr="0096268C">
              <w:trPr>
                <w:tblCellSpacing w:w="0" w:type="dxa"/>
              </w:trPr>
              <w:tc>
                <w:tcPr>
                  <w:tcW w:w="0" w:type="auto"/>
                  <w:shd w:val="clear" w:color="auto" w:fill="FFFFFF"/>
                  <w:tcMar>
                    <w:top w:w="30" w:type="dxa"/>
                    <w:left w:w="135" w:type="dxa"/>
                    <w:bottom w:w="30" w:type="dxa"/>
                    <w:right w:w="135" w:type="dxa"/>
                  </w:tcMar>
                  <w:vAlign w:val="center"/>
                  <w:hideMark/>
                </w:tcPr>
                <w:p w:rsidR="0096268C" w:rsidRPr="0096268C" w:rsidRDefault="00484903">
                  <w:r w:rsidRPr="0096268C">
                    <w:t>• Supports business wide com</w:t>
                  </w:r>
                  <w:r w:rsidRPr="0096268C">
                    <w:t xml:space="preserve">pliance with US government regulations concerning import and export operations, as well as global operations. </w:t>
                  </w:r>
                  <w:r w:rsidRPr="0096268C">
                    <w:br/>
                  </w:r>
                  <w:r w:rsidRPr="0096268C">
                    <w:br/>
                    <w:t>• Interfaces with internal and external parties, including product development, production planning, procurement, logistics, accounting, supplie</w:t>
                  </w:r>
                  <w:r w:rsidRPr="0096268C">
                    <w:t xml:space="preserve">rs, customs brokers, etc. on a wide array of trade compliance matters, including HTS and ECCN classification, valuation, country of origin, marking and FTA determinations. </w:t>
                  </w:r>
                  <w:r w:rsidRPr="0096268C">
                    <w:br/>
                  </w:r>
                  <w:r w:rsidRPr="0096268C">
                    <w:br/>
                    <w:t>• Researches customs regulations, rulings and Explanatory Notes and applies princi</w:t>
                  </w:r>
                  <w:r w:rsidRPr="0096268C">
                    <w:t xml:space="preserve">ples of the GRIs to determine regulatory or interpretive basis for classifications, and communicates such analysis, when required, effectively with internal clients and external customs brokers. </w:t>
                  </w:r>
                  <w:r w:rsidRPr="0096268C">
                    <w:br/>
                  </w:r>
                  <w:r w:rsidRPr="0096268C">
                    <w:br/>
                    <w:t>• Helps maintain centralized import/export databases.</w:t>
                  </w:r>
                  <w:r w:rsidRPr="0096268C">
                    <w:br/>
                  </w:r>
                  <w:r w:rsidRPr="0096268C">
                    <w:br/>
                    <w:t>• De</w:t>
                  </w:r>
                  <w:r w:rsidRPr="0096268C">
                    <w:t>termines FTA qualification based on Rules of Origin, and helps prepare documentation and analysis to maximize program benefits. Maintains appropriate documentation to substantiate origin determinations. May support FTA origin certifications from suppliers.</w:t>
                  </w:r>
                  <w:r w:rsidRPr="0096268C">
                    <w:t xml:space="preserve"> </w:t>
                  </w:r>
                  <w:r w:rsidRPr="0096268C">
                    <w:br/>
                  </w:r>
                  <w:r w:rsidRPr="0096268C">
                    <w:br/>
                    <w:t xml:space="preserve">• Conducts post importation and exportation audits to ensure compliance with US regulations including examination of import entry documents, ISF filings, receiving and payment records, EEI filings, and CTPAT audit related paperwork, etc. </w:t>
                  </w:r>
                  <w:r w:rsidRPr="0096268C">
                    <w:br/>
                  </w:r>
                  <w:r w:rsidRPr="0096268C">
                    <w:br/>
                    <w:t>• Supports an</w:t>
                  </w:r>
                  <w:r w:rsidRPr="0096268C">
                    <w:t>alysis related to our US Customs Value Reconciliations filings.</w:t>
                  </w:r>
                  <w:r w:rsidRPr="0096268C">
                    <w:br/>
                  </w:r>
                  <w:r w:rsidRPr="0096268C">
                    <w:br/>
                    <w:t>• May prepare duty refund claims, NAFTA reconciliation claims, or drawback claims, if required.</w:t>
                  </w:r>
                  <w:r w:rsidRPr="0096268C">
                    <w:br/>
                  </w:r>
                  <w:r w:rsidRPr="0096268C">
                    <w:br/>
                    <w:t>• Provides professional support to internal clients, external customs brokers, and our custome</w:t>
                  </w:r>
                  <w:r w:rsidRPr="0096268C">
                    <w:t xml:space="preserve">rs on trade compliance matters. </w:t>
                  </w:r>
                  <w:r w:rsidRPr="0096268C">
                    <w:br/>
                  </w:r>
                  <w:r w:rsidRPr="0096268C">
                    <w:br/>
                    <w:t>• Updates and/or develops, as applicable, import and export policies and procedures.</w:t>
                  </w:r>
                  <w:r w:rsidRPr="0096268C">
                    <w:br/>
                  </w:r>
                  <w:r w:rsidRPr="0096268C">
                    <w:br/>
                    <w:t>• Supports tracking of key performance indicators or metrics for import/ export operations.</w:t>
                  </w:r>
                  <w:r w:rsidRPr="0096268C">
                    <w:br/>
                  </w:r>
                  <w:r w:rsidRPr="0096268C">
                    <w:br/>
                    <w:t>• As necessary, performs other related duti</w:t>
                  </w:r>
                  <w:r w:rsidRPr="0096268C">
                    <w:t xml:space="preserve">es, and special projects. </w:t>
                  </w:r>
                </w:p>
              </w:tc>
            </w:tr>
          </w:tbl>
          <w:p w:rsidR="0096268C" w:rsidRPr="0096268C" w:rsidRDefault="00484903"/>
        </w:tc>
      </w:tr>
      <w:tr w:rsidR="0096268C" w:rsidRPr="0096268C">
        <w:trPr>
          <w:tblCellSpacing w:w="7" w:type="dxa"/>
          <w:jc w:val="center"/>
        </w:trPr>
        <w:tc>
          <w:tcPr>
            <w:tcW w:w="0" w:type="auto"/>
            <w:vAlign w:val="center"/>
            <w:hideMark/>
          </w:tcPr>
          <w:tbl>
            <w:tblPr>
              <w:tblW w:w="5000" w:type="pct"/>
              <w:tblCellSpacing w:w="0" w:type="dxa"/>
              <w:shd w:val="clear" w:color="auto" w:fill="F0F0F0"/>
              <w:tblCellMar>
                <w:top w:w="30" w:type="dxa"/>
                <w:left w:w="30" w:type="dxa"/>
                <w:bottom w:w="30" w:type="dxa"/>
                <w:right w:w="30" w:type="dxa"/>
              </w:tblCellMar>
              <w:tblLook w:val="04A0"/>
            </w:tblPr>
            <w:tblGrid>
              <w:gridCol w:w="8685"/>
            </w:tblGrid>
            <w:tr w:rsidR="0096268C" w:rsidRPr="0096268C">
              <w:trPr>
                <w:tblCellSpacing w:w="0" w:type="dxa"/>
              </w:trPr>
              <w:tc>
                <w:tcPr>
                  <w:tcW w:w="0" w:type="auto"/>
                  <w:shd w:val="clear" w:color="auto" w:fill="F0F0F0"/>
                  <w:tcMar>
                    <w:top w:w="15" w:type="dxa"/>
                    <w:left w:w="75" w:type="dxa"/>
                    <w:bottom w:w="15" w:type="dxa"/>
                    <w:right w:w="75" w:type="dxa"/>
                  </w:tcMar>
                  <w:vAlign w:val="center"/>
                  <w:hideMark/>
                </w:tcPr>
                <w:p w:rsidR="0096268C" w:rsidRPr="0096268C" w:rsidRDefault="00484903">
                  <w:pPr>
                    <w:rPr>
                      <w:caps/>
                      <w:color w:val="C0C0C0"/>
                      <w:spacing w:val="75"/>
                    </w:rPr>
                  </w:pPr>
                  <w:r w:rsidRPr="0096268C">
                    <w:rPr>
                      <w:b/>
                      <w:bCs/>
                      <w:caps/>
                      <w:color w:val="C0C0C0"/>
                      <w:spacing w:val="75"/>
                    </w:rPr>
                    <w:t>Additional Requirements:</w:t>
                  </w:r>
                  <w:r w:rsidRPr="0096268C">
                    <w:rPr>
                      <w:caps/>
                      <w:color w:val="C0C0C0"/>
                      <w:spacing w:val="75"/>
                    </w:rPr>
                    <w:t xml:space="preserve"> </w:t>
                  </w:r>
                </w:p>
              </w:tc>
            </w:tr>
            <w:tr w:rsidR="0096268C" w:rsidRPr="0096268C">
              <w:trPr>
                <w:tblCellSpacing w:w="0" w:type="dxa"/>
              </w:trPr>
              <w:tc>
                <w:tcPr>
                  <w:tcW w:w="0" w:type="auto"/>
                  <w:shd w:val="clear" w:color="auto" w:fill="FFFFFF"/>
                  <w:tcMar>
                    <w:top w:w="30" w:type="dxa"/>
                    <w:left w:w="135" w:type="dxa"/>
                    <w:bottom w:w="30" w:type="dxa"/>
                    <w:right w:w="135" w:type="dxa"/>
                  </w:tcMar>
                  <w:vAlign w:val="center"/>
                  <w:hideMark/>
                </w:tcPr>
                <w:p w:rsidR="0096268C" w:rsidRPr="0096268C" w:rsidRDefault="00484903">
                  <w:r w:rsidRPr="0096268C">
                    <w:t>Bachelor's degree with 3 or more years of increasingly responsible trade and customs experience</w:t>
                  </w:r>
                  <w:r w:rsidRPr="0096268C">
                    <w:br/>
                  </w:r>
                  <w:r w:rsidRPr="0096268C">
                    <w:br/>
                    <w:t>Customs Broker's License preferred</w:t>
                  </w:r>
                  <w:r w:rsidRPr="0096268C">
                    <w:br/>
                  </w:r>
                  <w:r w:rsidRPr="0096268C">
                    <w:br/>
                    <w:t>Complete working knowledge of US Customs compliance rules and regu</w:t>
                  </w:r>
                  <w:r w:rsidRPr="0096268C">
                    <w:t>lations. Knowledge of US export regulations preferred.</w:t>
                  </w:r>
                  <w:r w:rsidRPr="0096268C">
                    <w:br/>
                    <w:t>Working knowledge of NAFTA and other trade agreements and regulations</w:t>
                  </w:r>
                  <w:r w:rsidRPr="0096268C">
                    <w:br/>
                  </w:r>
                  <w:r w:rsidRPr="0096268C">
                    <w:br/>
                    <w:t>Excellent written and verbal communication skills required.</w:t>
                  </w:r>
                  <w:r w:rsidRPr="0096268C">
                    <w:br/>
                  </w:r>
                  <w:r w:rsidRPr="0096268C">
                    <w:br/>
                    <w:t xml:space="preserve">Experience working with Mexico and Maquiladora operations </w:t>
                  </w:r>
                  <w:proofErr w:type="gramStart"/>
                  <w:r w:rsidRPr="0096268C">
                    <w:t>a plus</w:t>
                  </w:r>
                  <w:r w:rsidRPr="0096268C">
                    <w:br/>
                  </w:r>
                  <w:r w:rsidRPr="0096268C">
                    <w:br/>
                    <w:t>Str</w:t>
                  </w:r>
                  <w:r w:rsidRPr="0096268C">
                    <w:t>ong quantitative, analytical and critical thinking skills</w:t>
                  </w:r>
                  <w:proofErr w:type="gramEnd"/>
                  <w:r w:rsidRPr="0096268C">
                    <w:br/>
                  </w:r>
                  <w:r w:rsidRPr="0096268C">
                    <w:br/>
                    <w:t>Working experience with Microsoft suite and Oracle preferred</w:t>
                  </w:r>
                  <w:r w:rsidRPr="0096268C">
                    <w:br/>
                  </w:r>
                  <w:r w:rsidRPr="0096268C">
                    <w:br/>
                    <w:t xml:space="preserve">Bi-Lingual – English/Spanish preferred. </w:t>
                  </w:r>
                </w:p>
              </w:tc>
            </w:tr>
          </w:tbl>
          <w:p w:rsidR="0096268C" w:rsidRPr="0096268C" w:rsidRDefault="00484903"/>
        </w:tc>
      </w:tr>
      <w:tr w:rsidR="0096268C" w:rsidRPr="0096268C">
        <w:trPr>
          <w:tblCellSpacing w:w="7" w:type="dxa"/>
          <w:jc w:val="center"/>
        </w:trPr>
        <w:tc>
          <w:tcPr>
            <w:tcW w:w="0" w:type="auto"/>
            <w:vAlign w:val="center"/>
            <w:hideMark/>
          </w:tcPr>
          <w:tbl>
            <w:tblPr>
              <w:tblW w:w="5000" w:type="pct"/>
              <w:tblCellSpacing w:w="0" w:type="dxa"/>
              <w:shd w:val="clear" w:color="auto" w:fill="F0F0F0"/>
              <w:tblCellMar>
                <w:top w:w="30" w:type="dxa"/>
                <w:left w:w="30" w:type="dxa"/>
                <w:bottom w:w="30" w:type="dxa"/>
                <w:right w:w="30" w:type="dxa"/>
              </w:tblCellMar>
              <w:tblLook w:val="04A0"/>
            </w:tblPr>
            <w:tblGrid>
              <w:gridCol w:w="8685"/>
            </w:tblGrid>
            <w:tr w:rsidR="0096268C" w:rsidRPr="0096268C">
              <w:trPr>
                <w:tblCellSpacing w:w="0" w:type="dxa"/>
              </w:trPr>
              <w:tc>
                <w:tcPr>
                  <w:tcW w:w="0" w:type="auto"/>
                  <w:shd w:val="clear" w:color="auto" w:fill="F0F0F0"/>
                  <w:tcMar>
                    <w:top w:w="15" w:type="dxa"/>
                    <w:left w:w="75" w:type="dxa"/>
                    <w:bottom w:w="15" w:type="dxa"/>
                    <w:right w:w="75" w:type="dxa"/>
                  </w:tcMar>
                  <w:vAlign w:val="center"/>
                  <w:hideMark/>
                </w:tcPr>
                <w:p w:rsidR="0096268C" w:rsidRPr="0096268C" w:rsidRDefault="00484903">
                  <w:pPr>
                    <w:rPr>
                      <w:caps/>
                      <w:color w:val="C0C0C0"/>
                      <w:spacing w:val="75"/>
                    </w:rPr>
                  </w:pPr>
                  <w:r w:rsidRPr="0096268C">
                    <w:rPr>
                      <w:b/>
                      <w:bCs/>
                      <w:caps/>
                      <w:color w:val="C0C0C0"/>
                      <w:spacing w:val="75"/>
                    </w:rPr>
                    <w:t>Closing</w:t>
                  </w:r>
                  <w:r w:rsidRPr="0096268C">
                    <w:rPr>
                      <w:caps/>
                      <w:color w:val="C0C0C0"/>
                      <w:spacing w:val="75"/>
                    </w:rPr>
                    <w:t xml:space="preserve"> </w:t>
                  </w:r>
                </w:p>
              </w:tc>
            </w:tr>
            <w:tr w:rsidR="0096268C" w:rsidRPr="0096268C">
              <w:trPr>
                <w:tblCellSpacing w:w="0" w:type="dxa"/>
              </w:trPr>
              <w:tc>
                <w:tcPr>
                  <w:tcW w:w="0" w:type="auto"/>
                  <w:shd w:val="clear" w:color="auto" w:fill="FFFFFF"/>
                  <w:tcMar>
                    <w:top w:w="30" w:type="dxa"/>
                    <w:left w:w="135" w:type="dxa"/>
                    <w:bottom w:w="30" w:type="dxa"/>
                    <w:right w:w="135" w:type="dxa"/>
                  </w:tcMar>
                  <w:vAlign w:val="center"/>
                  <w:hideMark/>
                </w:tcPr>
                <w:p w:rsidR="0096268C" w:rsidRPr="0096268C" w:rsidRDefault="00484903">
                  <w:pPr>
                    <w:adjustRightInd w:val="0"/>
                    <w:rPr>
                      <w:color w:val="000000"/>
                    </w:rPr>
                  </w:pPr>
                  <w:r w:rsidRPr="0096268C">
                    <w:rPr>
                      <w:color w:val="000000"/>
                    </w:rPr>
                    <w:t>We are committed to helping you reach your professional, personal and financial g</w:t>
                  </w:r>
                  <w:r w:rsidRPr="0096268C">
                    <w:rPr>
                      <w:color w:val="000000"/>
                    </w:rPr>
                    <w:t>oals.  We offer competitive compensation that aligns with our business strategies and comprehensive benefits to help you live your healthiest.  We are committed to building an inclusive and diverse culture that engages as well as values the different backg</w:t>
                  </w:r>
                  <w:r w:rsidRPr="0096268C">
                    <w:rPr>
                      <w:color w:val="000000"/>
                    </w:rPr>
                    <w:t>rounds and experiences of our employee, which, in turn, spurs innovation, generates creative solutions and enhances our customer relations.</w:t>
                  </w:r>
                </w:p>
                <w:p w:rsidR="0096268C" w:rsidRPr="0096268C" w:rsidRDefault="00484903">
                  <w:pPr>
                    <w:adjustRightInd w:val="0"/>
                    <w:rPr>
                      <w:color w:val="000000"/>
                    </w:rPr>
                  </w:pPr>
                  <w:r w:rsidRPr="0096268C">
                    <w:rPr>
                      <w:color w:val="FFFFFF"/>
                    </w:rPr>
                    <w:t> </w:t>
                  </w:r>
                </w:p>
                <w:p w:rsidR="0096268C" w:rsidRPr="0096268C" w:rsidRDefault="00484903">
                  <w:pPr>
                    <w:adjustRightInd w:val="0"/>
                    <w:rPr>
                      <w:color w:val="000000"/>
                    </w:rPr>
                  </w:pPr>
                  <w:r w:rsidRPr="0096268C">
                    <w:rPr>
                      <w:color w:val="000000"/>
                    </w:rPr>
                    <w:t>If you share our passion for inspiring progress—for bringing about bold shifts in how people, economies and societ</w:t>
                  </w:r>
                  <w:r w:rsidRPr="0096268C">
                    <w:rPr>
                      <w:color w:val="000000"/>
                    </w:rPr>
                    <w:t>ies operate—then you belong with Ingersoll Rand. Progress begins with you.</w:t>
                  </w:r>
                </w:p>
                <w:p w:rsidR="0096268C" w:rsidRPr="0096268C" w:rsidRDefault="00484903">
                  <w:pPr>
                    <w:adjustRightInd w:val="0"/>
                    <w:spacing w:after="200"/>
                    <w:rPr>
                      <w:color w:val="000000"/>
                    </w:rPr>
                  </w:pPr>
                  <w:r w:rsidRPr="0096268C">
                    <w:rPr>
                      <w:color w:val="FFFFFF"/>
                    </w:rPr>
                    <w:t> </w:t>
                  </w:r>
                </w:p>
                <w:p w:rsidR="0096268C" w:rsidRPr="0096268C" w:rsidRDefault="00484903">
                  <w:pPr>
                    <w:adjustRightInd w:val="0"/>
                    <w:spacing w:after="200"/>
                    <w:rPr>
                      <w:color w:val="000000"/>
                    </w:rPr>
                  </w:pPr>
                  <w:r w:rsidRPr="0096268C">
                    <w:rPr>
                      <w:color w:val="000000"/>
                    </w:rPr>
                    <w:t>Ingersoll Rand is committed to a diverse workforce and is an Equal Opportunity Employer.</w:t>
                  </w:r>
                </w:p>
              </w:tc>
            </w:tr>
          </w:tbl>
          <w:p w:rsidR="0096268C" w:rsidRPr="0096268C" w:rsidRDefault="00484903"/>
        </w:tc>
      </w:tr>
    </w:tbl>
    <w:p w:rsidR="00D33F69" w:rsidRPr="0096268C" w:rsidRDefault="00484903">
      <w:pPr>
        <w:rPr>
          <w:b/>
          <w:u w:val="single"/>
        </w:rPr>
      </w:pPr>
    </w:p>
    <w:p w:rsidR="00D33F69" w:rsidRPr="0096268C" w:rsidRDefault="00484903">
      <w:pPr>
        <w:rPr>
          <w:b/>
          <w:u w:val="single"/>
        </w:rPr>
      </w:pPr>
    </w:p>
    <w:p w:rsidR="00D33F69" w:rsidRPr="0096268C" w:rsidRDefault="00484903">
      <w:pPr>
        <w:rPr>
          <w:b/>
          <w:u w:val="single"/>
        </w:rPr>
      </w:pPr>
    </w:p>
    <w:p w:rsidR="00D33F69" w:rsidRPr="0096268C" w:rsidRDefault="00484903">
      <w:pPr>
        <w:rPr>
          <w:b/>
          <w:u w:val="single"/>
        </w:rPr>
      </w:pPr>
    </w:p>
    <w:p w:rsidR="00D33F69" w:rsidRPr="0096268C" w:rsidRDefault="00484903">
      <w:pPr>
        <w:rPr>
          <w:b/>
          <w:u w:val="single"/>
        </w:rPr>
      </w:pPr>
    </w:p>
    <w:p w:rsidR="00D33F69" w:rsidRPr="0096268C" w:rsidRDefault="00484903">
      <w:pPr>
        <w:rPr>
          <w:b/>
          <w:u w:val="single"/>
        </w:rPr>
      </w:pPr>
    </w:p>
    <w:p w:rsidR="00D33F69" w:rsidRPr="0096268C" w:rsidRDefault="00484903">
      <w:pPr>
        <w:rPr>
          <w:b/>
          <w:u w:val="single"/>
        </w:rPr>
      </w:pPr>
    </w:p>
    <w:p w:rsidR="00D33F69" w:rsidRDefault="00484903">
      <w:pPr>
        <w:rPr>
          <w:b/>
          <w:sz w:val="32"/>
          <w:szCs w:val="32"/>
          <w:u w:val="single"/>
        </w:rPr>
      </w:pPr>
    </w:p>
    <w:p w:rsidR="00D33F69" w:rsidRDefault="00484903">
      <w:pPr>
        <w:rPr>
          <w:b/>
          <w:sz w:val="32"/>
          <w:szCs w:val="32"/>
          <w:u w:val="single"/>
        </w:rPr>
      </w:pPr>
    </w:p>
    <w:p w:rsidR="00D33F69" w:rsidRDefault="00484903">
      <w:pPr>
        <w:rPr>
          <w:b/>
          <w:sz w:val="32"/>
          <w:szCs w:val="32"/>
          <w:u w:val="single"/>
        </w:rPr>
      </w:pPr>
    </w:p>
    <w:p w:rsidR="00D33F69" w:rsidRDefault="00484903">
      <w:pPr>
        <w:rPr>
          <w:b/>
          <w:sz w:val="32"/>
          <w:szCs w:val="32"/>
          <w:u w:val="single"/>
        </w:rPr>
      </w:pPr>
    </w:p>
    <w:p w:rsidR="00D33F69" w:rsidRDefault="00484903">
      <w:pPr>
        <w:rPr>
          <w:b/>
          <w:sz w:val="32"/>
          <w:szCs w:val="32"/>
          <w:u w:val="single"/>
        </w:rPr>
      </w:pPr>
    </w:p>
    <w:p w:rsidR="00D33F69" w:rsidRDefault="00484903">
      <w:pPr>
        <w:rPr>
          <w:b/>
          <w:sz w:val="32"/>
          <w:szCs w:val="32"/>
          <w:u w:val="single"/>
        </w:rPr>
      </w:pPr>
    </w:p>
    <w:p w:rsidR="00D33F69" w:rsidRDefault="00484903">
      <w:pPr>
        <w:rPr>
          <w:b/>
          <w:sz w:val="32"/>
          <w:szCs w:val="32"/>
          <w:u w:val="single"/>
        </w:rPr>
      </w:pPr>
    </w:p>
    <w:p w:rsidR="00D33F69" w:rsidRDefault="00484903">
      <w:pPr>
        <w:rPr>
          <w:b/>
          <w:sz w:val="32"/>
          <w:szCs w:val="32"/>
          <w:u w:val="single"/>
        </w:rPr>
      </w:pPr>
    </w:p>
    <w:p w:rsidR="00D33F69" w:rsidRDefault="00484903" w:rsidP="0096268C">
      <w:pPr>
        <w:outlineLvl w:val="0"/>
        <w:rPr>
          <w:b/>
          <w:sz w:val="32"/>
          <w:szCs w:val="32"/>
          <w:u w:val="single"/>
        </w:rPr>
      </w:pPr>
      <w:r>
        <w:rPr>
          <w:b/>
          <w:sz w:val="32"/>
          <w:szCs w:val="32"/>
          <w:u w:val="single"/>
        </w:rPr>
        <w:t>Contact Information</w:t>
      </w:r>
      <w:r>
        <w:rPr>
          <w:b/>
          <w:sz w:val="32"/>
          <w:szCs w:val="32"/>
          <w:u w:val="single"/>
        </w:rPr>
        <w:t xml:space="preserve"> to Apply</w:t>
      </w:r>
    </w:p>
    <w:p w:rsidR="0096268C" w:rsidRDefault="00484903" w:rsidP="0096268C">
      <w:pPr>
        <w:outlineLvl w:val="0"/>
        <w:rPr>
          <w:b/>
          <w:sz w:val="32"/>
          <w:szCs w:val="32"/>
          <w:u w:val="single"/>
        </w:rPr>
      </w:pPr>
    </w:p>
    <w:p w:rsidR="0096268C" w:rsidRPr="0096268C" w:rsidRDefault="00484903" w:rsidP="0096268C">
      <w:pPr>
        <w:outlineLvl w:val="0"/>
        <w:rPr>
          <w:b/>
          <w:sz w:val="32"/>
          <w:szCs w:val="32"/>
        </w:rPr>
      </w:pPr>
      <w:r w:rsidRPr="0096268C">
        <w:rPr>
          <w:b/>
          <w:sz w:val="32"/>
          <w:szCs w:val="32"/>
        </w:rPr>
        <w:t>Ingersoll Rand Career page, please apply t</w:t>
      </w:r>
      <w:r w:rsidRPr="0096268C">
        <w:rPr>
          <w:b/>
          <w:sz w:val="32"/>
          <w:szCs w:val="32"/>
        </w:rPr>
        <w:t>o job # 685450</w:t>
      </w:r>
    </w:p>
    <w:sectPr w:rsidR="0096268C" w:rsidRPr="0096268C" w:rsidSect="000B5F0C">
      <w:pgSz w:w="12240" w:h="15840"/>
      <w:pgMar w:top="1440" w:right="1800" w:bottom="1440" w:left="180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splitPgBreakAndParaMark/>
  </w:compat>
  <w:rsids>
    <w:rsidRoot w:val="00484903"/>
    <w:rsid w:val="00484903"/>
  </w:rsids>
  <m:mathPr>
    <m:mathFont m:val="Helvetica"/>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uiPriority w:val="99"/>
    <w:unhideWhenUsed/>
    <w:rsid w:val="0096268C"/>
    <w:rPr>
      <w:color w:val="000000"/>
      <w:u w:val="single"/>
    </w:rPr>
  </w:style>
</w:styles>
</file>

<file path=word/webSettings.xml><?xml version="1.0" encoding="utf-8"?>
<w:webSettings xmlns:r="http://schemas.openxmlformats.org/officeDocument/2006/relationships" xmlns:w="http://schemas.openxmlformats.org/wordprocessingml/2006/main">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Joe:Users:joeburks:Downloads:ICPA_Job_Form-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ICPA_Job_Form-6.dot</Template>
  <TotalTime>2</TotalTime>
  <Pages>3</Pages>
  <Words>631</Words>
  <Characters>3601</Characters>
  <Application>Microsoft Word 12.0.0</Application>
  <DocSecurity>0</DocSecurity>
  <Lines>30</Lines>
  <Paragraphs>7</Paragraphs>
  <ScaleCrop>false</ScaleCrop>
  <Company>Ciba Specialty Chemicals</Company>
  <LinksUpToDate>false</LinksUpToDate>
  <CharactersWithSpaces>4422</CharactersWithSpaces>
  <SharedDoc>false</SharedDoc>
  <HLinks>
    <vt:vector size="30" baseType="variant">
      <vt:variant>
        <vt:i4>6815790</vt:i4>
      </vt:variant>
      <vt:variant>
        <vt:i4>12</vt:i4>
      </vt:variant>
      <vt:variant>
        <vt:i4>0</vt:i4>
      </vt:variant>
      <vt:variant>
        <vt:i4>5</vt:i4>
      </vt:variant>
      <vt:variant>
        <vt:lpwstr>http://www.trane.com/Residential/Why-Trane/Proof-Of-Reliability</vt:lpwstr>
      </vt:variant>
      <vt:variant>
        <vt:lpwstr/>
      </vt:variant>
      <vt:variant>
        <vt:i4>3932197</vt:i4>
      </vt:variant>
      <vt:variant>
        <vt:i4>9</vt:i4>
      </vt:variant>
      <vt:variant>
        <vt:i4>0</vt:i4>
      </vt:variant>
      <vt:variant>
        <vt:i4>5</vt:i4>
      </vt:variant>
      <vt:variant>
        <vt:lpwstr>http://www.thermoking.com/</vt:lpwstr>
      </vt:variant>
      <vt:variant>
        <vt:lpwstr/>
      </vt:variant>
      <vt:variant>
        <vt:i4>3801209</vt:i4>
      </vt:variant>
      <vt:variant>
        <vt:i4>6</vt:i4>
      </vt:variant>
      <vt:variant>
        <vt:i4>0</vt:i4>
      </vt:variant>
      <vt:variant>
        <vt:i4>5</vt:i4>
      </vt:variant>
      <vt:variant>
        <vt:lpwstr>http://www.schlage.com/</vt:lpwstr>
      </vt:variant>
      <vt:variant>
        <vt:lpwstr/>
      </vt:variant>
      <vt:variant>
        <vt:i4>5832711</vt:i4>
      </vt:variant>
      <vt:variant>
        <vt:i4>3</vt:i4>
      </vt:variant>
      <vt:variant>
        <vt:i4>0</vt:i4>
      </vt:variant>
      <vt:variant>
        <vt:i4>5</vt:i4>
      </vt:variant>
      <vt:variant>
        <vt:lpwstr>http://www.ingersollrandproducts.com/</vt:lpwstr>
      </vt:variant>
      <vt:variant>
        <vt:lpwstr/>
      </vt:variant>
      <vt:variant>
        <vt:i4>5505103</vt:i4>
      </vt:variant>
      <vt:variant>
        <vt:i4>0</vt:i4>
      </vt:variant>
      <vt:variant>
        <vt:i4>0</vt:i4>
      </vt:variant>
      <vt:variant>
        <vt:i4>5</vt:i4>
      </vt:variant>
      <vt:variant>
        <vt:lpwstr>http://www.clubcar.com/Pages/default.aspx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Joe Burks</dc:creator>
  <cp:keywords/>
  <cp:lastModifiedBy>Joe Burks</cp:lastModifiedBy>
  <cp:revision>1</cp:revision>
  <dcterms:created xsi:type="dcterms:W3CDTF">2013-06-05T00:31:00Z</dcterms:created>
  <dcterms:modified xsi:type="dcterms:W3CDTF">2013-06-05T00:33:00Z</dcterms:modified>
</cp:coreProperties>
</file>