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E8" w:rsidRPr="0045570C" w:rsidRDefault="009113E8">
      <w:pPr>
        <w:pStyle w:val="Heading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30"/>
          <w:tab w:val="left" w:pos="2100"/>
          <w:tab w:val="center" w:pos="4536"/>
        </w:tabs>
        <w:jc w:val="left"/>
        <w:rPr>
          <w:rFonts w:ascii="Arial" w:hAnsi="Arial" w:cs="Arial"/>
          <w:sz w:val="36"/>
          <w:u w:val="none"/>
        </w:rPr>
      </w:pPr>
      <w:r w:rsidRPr="0045570C">
        <w:rPr>
          <w:rFonts w:ascii="Arial" w:hAnsi="Arial" w:cs="Arial"/>
          <w:caps/>
          <w:smallCaps w:val="0"/>
          <w:sz w:val="36"/>
          <w:u w:val="none"/>
        </w:rPr>
        <w:tab/>
      </w:r>
      <w:r w:rsidRPr="0045570C">
        <w:rPr>
          <w:rFonts w:ascii="Arial" w:hAnsi="Arial" w:cs="Arial"/>
          <w:caps/>
          <w:smallCaps w:val="0"/>
          <w:sz w:val="36"/>
          <w:u w:val="none"/>
        </w:rPr>
        <w:tab/>
      </w:r>
      <w:r w:rsidRPr="0045570C">
        <w:rPr>
          <w:rFonts w:ascii="Arial" w:hAnsi="Arial" w:cs="Arial"/>
          <w:caps/>
          <w:smallCaps w:val="0"/>
          <w:sz w:val="36"/>
          <w:u w:val="none"/>
        </w:rPr>
        <w:tab/>
        <w:t xml:space="preserve"> </w:t>
      </w:r>
      <w:r w:rsidRPr="0045570C">
        <w:rPr>
          <w:rFonts w:ascii="Arial" w:hAnsi="Arial" w:cs="Arial"/>
          <w:sz w:val="36"/>
          <w:u w:val="none"/>
        </w:rPr>
        <w:t>Table of Contents</w:t>
      </w:r>
    </w:p>
    <w:p w:rsidR="00744ED5" w:rsidRDefault="00744ED5">
      <w:pPr>
        <w:pStyle w:val="Heading1"/>
        <w:jc w:val="left"/>
        <w:rPr>
          <w:sz w:val="24"/>
          <w:u w:val="none"/>
        </w:rPr>
      </w:pPr>
    </w:p>
    <w:p w:rsidR="009113E8" w:rsidRDefault="009113E8">
      <w:pPr>
        <w:pStyle w:val="Heading1"/>
        <w:jc w:val="left"/>
        <w:rPr>
          <w:sz w:val="24"/>
          <w:u w:val="none"/>
        </w:rPr>
      </w:pPr>
      <w:r>
        <w:rPr>
          <w:sz w:val="24"/>
          <w:u w:val="none"/>
        </w:rPr>
        <w:t>Corpo</w:t>
      </w:r>
      <w:r w:rsidR="0045570C">
        <w:rPr>
          <w:sz w:val="24"/>
          <w:u w:val="none"/>
        </w:rPr>
        <w:t>rate Customs Policy</w:t>
      </w:r>
      <w:r w:rsidR="0045570C">
        <w:rPr>
          <w:sz w:val="24"/>
          <w:u w:val="none"/>
        </w:rPr>
        <w:tab/>
      </w:r>
      <w:r w:rsidR="0045570C">
        <w:rPr>
          <w:sz w:val="24"/>
          <w:u w:val="none"/>
        </w:rPr>
        <w:tab/>
      </w:r>
      <w:r w:rsidR="003736E2">
        <w:rPr>
          <w:sz w:val="24"/>
          <w:u w:val="none"/>
        </w:rPr>
        <w:tab/>
      </w:r>
      <w:r w:rsidR="000D6AB6">
        <w:rPr>
          <w:sz w:val="24"/>
          <w:u w:val="none"/>
        </w:rPr>
        <w:tab/>
      </w:r>
      <w:r w:rsidR="00744ED5">
        <w:rPr>
          <w:sz w:val="24"/>
          <w:u w:val="none"/>
        </w:rPr>
        <w:tab/>
      </w:r>
      <w:r w:rsidR="00744ED5">
        <w:rPr>
          <w:sz w:val="24"/>
          <w:u w:val="none"/>
        </w:rPr>
        <w:tab/>
      </w:r>
      <w:r w:rsidR="00744ED5">
        <w:rPr>
          <w:sz w:val="24"/>
          <w:u w:val="none"/>
        </w:rPr>
        <w:tab/>
      </w:r>
      <w:r w:rsidR="000D6AB6" w:rsidRPr="00C25FD9">
        <w:rPr>
          <w:sz w:val="24"/>
        </w:rPr>
        <w:t>Tab A</w:t>
      </w:r>
    </w:p>
    <w:p w:rsidR="009113E8" w:rsidRDefault="00CD252A">
      <w:r>
        <w:tab/>
      </w:r>
    </w:p>
    <w:p w:rsidR="009113E8" w:rsidRDefault="009113E8">
      <w:pPr>
        <w:pStyle w:val="Heading1"/>
        <w:jc w:val="left"/>
        <w:rPr>
          <w:sz w:val="24"/>
          <w:u w:val="none"/>
        </w:rPr>
      </w:pPr>
      <w:r>
        <w:rPr>
          <w:sz w:val="24"/>
          <w:u w:val="none"/>
        </w:rPr>
        <w:t xml:space="preserve">Customs </w:t>
      </w:r>
      <w:r w:rsidR="00CD252A">
        <w:rPr>
          <w:sz w:val="24"/>
          <w:u w:val="none"/>
        </w:rPr>
        <w:t xml:space="preserve">Modernization Act Overview </w:t>
      </w:r>
      <w:r w:rsidR="00CD252A">
        <w:rPr>
          <w:sz w:val="24"/>
          <w:u w:val="none"/>
        </w:rPr>
        <w:tab/>
      </w:r>
      <w:r w:rsidR="00CD252A">
        <w:rPr>
          <w:sz w:val="24"/>
          <w:u w:val="none"/>
        </w:rPr>
        <w:tab/>
      </w:r>
      <w:r w:rsidR="00CD252A">
        <w:rPr>
          <w:sz w:val="24"/>
          <w:u w:val="none"/>
        </w:rPr>
        <w:tab/>
      </w:r>
      <w:r w:rsidR="00CD252A">
        <w:rPr>
          <w:sz w:val="24"/>
          <w:u w:val="none"/>
        </w:rPr>
        <w:tab/>
      </w:r>
      <w:r w:rsidR="000D6AB6">
        <w:rPr>
          <w:sz w:val="24"/>
          <w:u w:val="none"/>
        </w:rPr>
        <w:tab/>
      </w:r>
      <w:r w:rsidR="000D6AB6" w:rsidRPr="00C25FD9">
        <w:rPr>
          <w:sz w:val="24"/>
        </w:rPr>
        <w:t>Tab B</w:t>
      </w:r>
    </w:p>
    <w:p w:rsidR="00C66A9C" w:rsidRDefault="00C66A9C">
      <w:pPr>
        <w:pStyle w:val="Heading1"/>
        <w:jc w:val="left"/>
        <w:rPr>
          <w:sz w:val="24"/>
          <w:u w:val="none"/>
        </w:rPr>
      </w:pPr>
    </w:p>
    <w:p w:rsidR="009113E8" w:rsidRDefault="009113E8">
      <w:pPr>
        <w:pStyle w:val="Heading1"/>
        <w:jc w:val="left"/>
        <w:rPr>
          <w:sz w:val="24"/>
          <w:u w:val="none"/>
        </w:rPr>
      </w:pPr>
      <w:r>
        <w:rPr>
          <w:sz w:val="24"/>
          <w:u w:val="none"/>
        </w:rPr>
        <w:t>Imp</w:t>
      </w:r>
      <w:r w:rsidR="000D6AB6">
        <w:rPr>
          <w:sz w:val="24"/>
          <w:u w:val="none"/>
        </w:rPr>
        <w:t>ort Compliance Procedures</w:t>
      </w:r>
      <w:r w:rsidR="000D6AB6">
        <w:rPr>
          <w:sz w:val="24"/>
          <w:u w:val="none"/>
        </w:rPr>
        <w:tab/>
      </w:r>
      <w:r w:rsidR="000D6AB6">
        <w:rPr>
          <w:sz w:val="24"/>
          <w:u w:val="none"/>
        </w:rPr>
        <w:tab/>
      </w:r>
      <w:r w:rsidR="000D6AB6">
        <w:rPr>
          <w:sz w:val="24"/>
          <w:u w:val="none"/>
        </w:rPr>
        <w:tab/>
      </w:r>
      <w:r w:rsidR="000D6AB6">
        <w:rPr>
          <w:sz w:val="24"/>
          <w:u w:val="none"/>
        </w:rPr>
        <w:tab/>
      </w:r>
      <w:r w:rsidR="000D6AB6">
        <w:rPr>
          <w:sz w:val="24"/>
          <w:u w:val="none"/>
        </w:rPr>
        <w:tab/>
      </w:r>
      <w:r w:rsidR="000D6AB6">
        <w:rPr>
          <w:sz w:val="24"/>
          <w:u w:val="none"/>
        </w:rPr>
        <w:tab/>
      </w:r>
      <w:r w:rsidR="000D6AB6">
        <w:rPr>
          <w:sz w:val="24"/>
          <w:u w:val="none"/>
        </w:rPr>
        <w:tab/>
      </w:r>
      <w:r w:rsidR="000D6AB6" w:rsidRPr="00C25FD9">
        <w:rPr>
          <w:sz w:val="24"/>
        </w:rPr>
        <w:t>Tab C</w:t>
      </w:r>
      <w:r>
        <w:rPr>
          <w:sz w:val="24"/>
          <w:u w:val="none"/>
        </w:rPr>
        <w:tab/>
      </w:r>
    </w:p>
    <w:p w:rsidR="009113E8" w:rsidRPr="00C66A9C" w:rsidRDefault="009113E8" w:rsidP="00C66A9C">
      <w:pPr>
        <w:ind w:firstLine="720"/>
        <w:rPr>
          <w:b/>
          <w:sz w:val="22"/>
        </w:rPr>
      </w:pPr>
      <w:r>
        <w:rPr>
          <w:b/>
          <w:sz w:val="22"/>
        </w:rPr>
        <w:t>Recordkeeping</w:t>
      </w:r>
      <w:r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0D6AB6">
        <w:rPr>
          <w:b/>
          <w:sz w:val="22"/>
        </w:rPr>
        <w:tab/>
        <w:t>Tab 1</w:t>
      </w:r>
    </w:p>
    <w:p w:rsidR="009113E8" w:rsidRDefault="009113E8">
      <w:pPr>
        <w:ind w:firstLine="720"/>
        <w:rPr>
          <w:b/>
          <w:sz w:val="22"/>
        </w:rPr>
      </w:pPr>
      <w:r>
        <w:rPr>
          <w:b/>
          <w:sz w:val="22"/>
        </w:rPr>
        <w:t>Commercial Document Compliance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D6AB6">
        <w:rPr>
          <w:b/>
          <w:sz w:val="22"/>
        </w:rPr>
        <w:tab/>
      </w:r>
      <w:r>
        <w:rPr>
          <w:b/>
          <w:sz w:val="22"/>
        </w:rPr>
        <w:t>Tab 2</w:t>
      </w:r>
    </w:p>
    <w:p w:rsidR="00AC07E0" w:rsidRDefault="00AC07E0">
      <w:pPr>
        <w:ind w:firstLine="720"/>
        <w:rPr>
          <w:b/>
          <w:sz w:val="22"/>
        </w:rPr>
      </w:pPr>
      <w:r>
        <w:rPr>
          <w:b/>
          <w:sz w:val="22"/>
        </w:rPr>
        <w:t>Supplier Regulatory Requirements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Tab 3</w:t>
      </w:r>
    </w:p>
    <w:p w:rsidR="009113E8" w:rsidRDefault="009113E8">
      <w:pPr>
        <w:ind w:firstLine="720"/>
        <w:rPr>
          <w:b/>
          <w:sz w:val="22"/>
        </w:rPr>
      </w:pPr>
      <w:r>
        <w:rPr>
          <w:b/>
          <w:sz w:val="22"/>
        </w:rPr>
        <w:t>Classification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D6AB6">
        <w:rPr>
          <w:b/>
          <w:sz w:val="22"/>
        </w:rPr>
        <w:tab/>
      </w:r>
      <w:r w:rsidR="00AC07E0">
        <w:rPr>
          <w:b/>
          <w:sz w:val="22"/>
        </w:rPr>
        <w:t>Tab 4</w:t>
      </w:r>
    </w:p>
    <w:p w:rsidR="009113E8" w:rsidRDefault="009113E8">
      <w:pPr>
        <w:ind w:firstLine="720"/>
        <w:rPr>
          <w:b/>
          <w:sz w:val="22"/>
        </w:rPr>
      </w:pPr>
      <w:r>
        <w:rPr>
          <w:b/>
          <w:sz w:val="22"/>
        </w:rPr>
        <w:t>Valuation o</w:t>
      </w:r>
      <w:r w:rsidR="003736E2">
        <w:rPr>
          <w:b/>
          <w:sz w:val="22"/>
        </w:rPr>
        <w:t>f Imported Merchandise</w:t>
      </w:r>
      <w:r w:rsidR="003736E2">
        <w:rPr>
          <w:b/>
          <w:sz w:val="22"/>
        </w:rPr>
        <w:tab/>
      </w:r>
      <w:r w:rsidR="003736E2">
        <w:rPr>
          <w:b/>
          <w:sz w:val="22"/>
        </w:rPr>
        <w:tab/>
      </w:r>
      <w:r w:rsidR="003736E2">
        <w:rPr>
          <w:b/>
          <w:sz w:val="22"/>
        </w:rPr>
        <w:tab/>
      </w:r>
      <w:r w:rsidR="003736E2">
        <w:rPr>
          <w:b/>
          <w:sz w:val="22"/>
        </w:rPr>
        <w:tab/>
      </w:r>
      <w:r w:rsidR="003736E2">
        <w:rPr>
          <w:b/>
          <w:sz w:val="22"/>
        </w:rPr>
        <w:tab/>
      </w:r>
      <w:r w:rsidR="000D6AB6">
        <w:rPr>
          <w:b/>
          <w:sz w:val="22"/>
        </w:rPr>
        <w:tab/>
      </w:r>
      <w:r w:rsidR="00AC07E0">
        <w:rPr>
          <w:b/>
          <w:sz w:val="22"/>
        </w:rPr>
        <w:t>Tab 5</w:t>
      </w:r>
    </w:p>
    <w:p w:rsidR="00AC07E0" w:rsidRDefault="00AC07E0">
      <w:pPr>
        <w:ind w:firstLine="720"/>
        <w:rPr>
          <w:b/>
          <w:sz w:val="22"/>
        </w:rPr>
      </w:pPr>
      <w:r>
        <w:rPr>
          <w:b/>
          <w:sz w:val="22"/>
        </w:rPr>
        <w:t xml:space="preserve">Reconciliation Work Instructions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Tab 6</w:t>
      </w:r>
    </w:p>
    <w:p w:rsidR="00AC07E0" w:rsidRDefault="00AC07E0">
      <w:pPr>
        <w:ind w:firstLine="720"/>
        <w:rPr>
          <w:b/>
          <w:sz w:val="22"/>
        </w:rPr>
      </w:pPr>
      <w:r>
        <w:rPr>
          <w:b/>
          <w:sz w:val="22"/>
        </w:rPr>
        <w:t>Indirect Payment Work Instructions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Tab 7</w:t>
      </w:r>
    </w:p>
    <w:p w:rsidR="009113E8" w:rsidRDefault="009113E8">
      <w:pPr>
        <w:ind w:firstLine="720"/>
        <w:rPr>
          <w:b/>
          <w:sz w:val="22"/>
        </w:rPr>
      </w:pPr>
      <w:r>
        <w:rPr>
          <w:b/>
          <w:sz w:val="22"/>
        </w:rPr>
        <w:t>Quantity Verification, Overage, Shor</w:t>
      </w:r>
      <w:r w:rsidR="003736E2">
        <w:rPr>
          <w:b/>
          <w:sz w:val="22"/>
        </w:rPr>
        <w:t>tage, and Damage Reporting</w:t>
      </w:r>
      <w:r w:rsidR="003736E2">
        <w:rPr>
          <w:b/>
          <w:sz w:val="22"/>
        </w:rPr>
        <w:tab/>
      </w:r>
      <w:r w:rsidR="000D6AB6">
        <w:rPr>
          <w:b/>
          <w:sz w:val="22"/>
        </w:rPr>
        <w:tab/>
      </w:r>
      <w:r w:rsidR="003736E2">
        <w:rPr>
          <w:b/>
          <w:sz w:val="22"/>
        </w:rPr>
        <w:t xml:space="preserve">Tab </w:t>
      </w:r>
      <w:r w:rsidR="00AC07E0">
        <w:rPr>
          <w:b/>
          <w:sz w:val="22"/>
        </w:rPr>
        <w:t>8</w:t>
      </w:r>
    </w:p>
    <w:p w:rsidR="009113E8" w:rsidRDefault="009113E8">
      <w:pPr>
        <w:ind w:left="720"/>
        <w:rPr>
          <w:b/>
          <w:sz w:val="22"/>
        </w:rPr>
      </w:pPr>
      <w:r>
        <w:rPr>
          <w:b/>
          <w:sz w:val="22"/>
        </w:rPr>
        <w:t>Country of Origin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3736E2">
        <w:rPr>
          <w:b/>
          <w:sz w:val="22"/>
        </w:rPr>
        <w:tab/>
      </w:r>
      <w:r w:rsidR="003736E2">
        <w:rPr>
          <w:b/>
          <w:sz w:val="22"/>
        </w:rPr>
        <w:tab/>
      </w:r>
      <w:r w:rsidR="000D6AB6">
        <w:rPr>
          <w:b/>
          <w:sz w:val="22"/>
        </w:rPr>
        <w:tab/>
      </w:r>
      <w:r w:rsidR="003736E2">
        <w:rPr>
          <w:b/>
          <w:sz w:val="22"/>
        </w:rPr>
        <w:t xml:space="preserve">Tab </w:t>
      </w:r>
      <w:r w:rsidR="00AC07E0">
        <w:rPr>
          <w:b/>
          <w:sz w:val="22"/>
        </w:rPr>
        <w:t>9</w:t>
      </w:r>
    </w:p>
    <w:p w:rsidR="00AC07E0" w:rsidRDefault="00AC07E0">
      <w:pPr>
        <w:ind w:left="720"/>
        <w:rPr>
          <w:b/>
          <w:sz w:val="22"/>
        </w:rPr>
      </w:pPr>
      <w:r>
        <w:rPr>
          <w:b/>
          <w:sz w:val="22"/>
        </w:rPr>
        <w:t>Duty Drawback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Tab 10</w:t>
      </w:r>
    </w:p>
    <w:p w:rsidR="00AC07E0" w:rsidRDefault="00AC07E0">
      <w:pPr>
        <w:ind w:left="720"/>
        <w:rPr>
          <w:b/>
          <w:sz w:val="22"/>
        </w:rPr>
      </w:pPr>
      <w:r>
        <w:rPr>
          <w:b/>
          <w:sz w:val="22"/>
        </w:rPr>
        <w:t>Duty Drawback Power-of –Attorney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Tab 11</w:t>
      </w:r>
    </w:p>
    <w:p w:rsidR="0064517F" w:rsidRDefault="003736E2">
      <w:pPr>
        <w:pStyle w:val="Heading6"/>
      </w:pPr>
      <w:r>
        <w:t>Import Compliance Tr</w:t>
      </w:r>
      <w:r w:rsidR="00850E69">
        <w:t>aining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6AB6">
        <w:tab/>
      </w:r>
      <w:r w:rsidR="00AC07E0">
        <w:t>Tab 12</w:t>
      </w:r>
    </w:p>
    <w:p w:rsidR="00850E69" w:rsidRPr="00850E69" w:rsidRDefault="00AC07E0" w:rsidP="00850E69">
      <w:pPr>
        <w:pStyle w:val="Heading6"/>
      </w:pPr>
      <w:r>
        <w:t>ADD/CVD Procedures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6AB6">
        <w:tab/>
      </w:r>
      <w:r w:rsidR="00413793">
        <w:t xml:space="preserve">Tab </w:t>
      </w:r>
      <w:r>
        <w:t>13</w:t>
      </w:r>
      <w:r w:rsidR="00850E69">
        <w:tab/>
      </w:r>
    </w:p>
    <w:p w:rsidR="00413793" w:rsidRPr="00413793" w:rsidRDefault="00413793" w:rsidP="00850E69">
      <w:pPr>
        <w:pStyle w:val="Heading6"/>
      </w:pPr>
      <w:r>
        <w:t>Audit Controls</w:t>
      </w:r>
      <w:r>
        <w:tab/>
      </w:r>
      <w:r>
        <w:tab/>
      </w:r>
      <w:r w:rsidR="003736E2">
        <w:tab/>
      </w:r>
      <w:r w:rsidR="003736E2">
        <w:tab/>
      </w:r>
      <w:r w:rsidR="003736E2">
        <w:tab/>
      </w:r>
      <w:r w:rsidR="003736E2">
        <w:tab/>
      </w:r>
      <w:r w:rsidR="003736E2">
        <w:tab/>
      </w:r>
      <w:r w:rsidR="003736E2">
        <w:tab/>
      </w:r>
      <w:r w:rsidR="000D6AB6">
        <w:tab/>
      </w:r>
      <w:r w:rsidR="00850E69">
        <w:t xml:space="preserve">Tab </w:t>
      </w:r>
      <w:r w:rsidR="00AC07E0">
        <w:t>14</w:t>
      </w:r>
      <w:r>
        <w:tab/>
      </w:r>
    </w:p>
    <w:p w:rsidR="009113E8" w:rsidRDefault="00AC07E0">
      <w:pPr>
        <w:pStyle w:val="Heading6"/>
      </w:pPr>
      <w:r>
        <w:t>Periodic Review Checklist and Work Instructions</w:t>
      </w:r>
      <w:r>
        <w:tab/>
      </w:r>
      <w:r>
        <w:tab/>
      </w:r>
      <w:r>
        <w:tab/>
      </w:r>
      <w:r>
        <w:tab/>
        <w:t>Tab 15</w:t>
      </w:r>
    </w:p>
    <w:p w:rsidR="009113E8" w:rsidRPr="0058022C" w:rsidRDefault="009113E8">
      <w:pPr>
        <w:pStyle w:val="Heading1"/>
        <w:jc w:val="left"/>
        <w:rPr>
          <w:color w:val="FF6600"/>
          <w:sz w:val="24"/>
          <w:u w:val="none"/>
        </w:rPr>
      </w:pPr>
    </w:p>
    <w:p w:rsidR="009113E8" w:rsidRDefault="00CD252A">
      <w:pPr>
        <w:pStyle w:val="Heading1"/>
        <w:jc w:val="left"/>
        <w:rPr>
          <w:sz w:val="24"/>
          <w:u w:val="none"/>
        </w:rPr>
      </w:pPr>
      <w:r>
        <w:rPr>
          <w:sz w:val="24"/>
          <w:u w:val="none"/>
        </w:rPr>
        <w:t>Binding Rulings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 xml:space="preserve"> 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="000D6AB6">
        <w:rPr>
          <w:sz w:val="24"/>
          <w:u w:val="none"/>
        </w:rPr>
        <w:tab/>
      </w:r>
      <w:r w:rsidR="00C25FD9" w:rsidRPr="00C25FD9">
        <w:rPr>
          <w:sz w:val="24"/>
        </w:rPr>
        <w:t>Tab D</w:t>
      </w:r>
    </w:p>
    <w:p w:rsidR="009113E8" w:rsidRDefault="000A4227" w:rsidP="000A4227">
      <w:pPr>
        <w:pStyle w:val="Heading2"/>
      </w:pPr>
      <w:r>
        <w:tab/>
      </w:r>
      <w:r w:rsidR="009113E8">
        <w:t>Binding R</w:t>
      </w:r>
      <w:r>
        <w:t>uling Letter Template</w:t>
      </w:r>
      <w:r>
        <w:tab/>
      </w:r>
      <w:r>
        <w:tab/>
      </w:r>
      <w:r>
        <w:tab/>
      </w:r>
      <w:r>
        <w:tab/>
      </w:r>
      <w:r>
        <w:tab/>
      </w:r>
      <w:r w:rsidR="000D6AB6">
        <w:tab/>
      </w:r>
      <w:r>
        <w:t>Tab 1</w:t>
      </w:r>
      <w:r w:rsidR="00AC07E0">
        <w:t>6</w:t>
      </w:r>
    </w:p>
    <w:p w:rsidR="009113E8" w:rsidRDefault="009113E8">
      <w:pPr>
        <w:rPr>
          <w:b/>
          <w:sz w:val="22"/>
        </w:rPr>
      </w:pPr>
      <w:r>
        <w:rPr>
          <w:b/>
          <w:sz w:val="22"/>
        </w:rPr>
        <w:tab/>
        <w:t>Optional Template for Electronic Request for Binding Ruling</w:t>
      </w:r>
      <w:r>
        <w:rPr>
          <w:b/>
          <w:sz w:val="22"/>
        </w:rPr>
        <w:tab/>
      </w:r>
      <w:r w:rsidR="000D6AB6">
        <w:rPr>
          <w:b/>
          <w:sz w:val="22"/>
        </w:rPr>
        <w:tab/>
      </w:r>
      <w:r>
        <w:rPr>
          <w:b/>
          <w:sz w:val="22"/>
        </w:rPr>
        <w:t>Tab 1</w:t>
      </w:r>
      <w:r w:rsidR="00AC07E0">
        <w:rPr>
          <w:b/>
          <w:sz w:val="22"/>
        </w:rPr>
        <w:t>7</w:t>
      </w:r>
    </w:p>
    <w:p w:rsidR="009113E8" w:rsidRDefault="009113E8">
      <w:pPr>
        <w:pStyle w:val="Header"/>
        <w:tabs>
          <w:tab w:val="clear" w:pos="4320"/>
          <w:tab w:val="clear" w:pos="8640"/>
        </w:tabs>
      </w:pPr>
    </w:p>
    <w:p w:rsidR="009113E8" w:rsidRDefault="000D6AB6">
      <w:pPr>
        <w:pStyle w:val="Heading1"/>
        <w:jc w:val="left"/>
        <w:rPr>
          <w:sz w:val="24"/>
          <w:u w:val="none"/>
        </w:rPr>
      </w:pPr>
      <w:r>
        <w:rPr>
          <w:sz w:val="24"/>
          <w:u w:val="none"/>
        </w:rPr>
        <w:t>Post-Entry Activity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="009113E8" w:rsidRPr="00C25FD9">
        <w:rPr>
          <w:sz w:val="24"/>
        </w:rPr>
        <w:t xml:space="preserve">Tab </w:t>
      </w:r>
      <w:r w:rsidR="00C25FD9" w:rsidRPr="00C25FD9">
        <w:rPr>
          <w:sz w:val="24"/>
        </w:rPr>
        <w:t>E</w:t>
      </w:r>
    </w:p>
    <w:p w:rsidR="00FD1247" w:rsidRDefault="00FD1247" w:rsidP="00EB36BE">
      <w:pPr>
        <w:ind w:firstLine="720"/>
        <w:rPr>
          <w:b/>
          <w:sz w:val="22"/>
        </w:rPr>
      </w:pPr>
      <w:r>
        <w:rPr>
          <w:b/>
          <w:sz w:val="22"/>
        </w:rPr>
        <w:t>Post Entry Amendment (PEA)</w:t>
      </w:r>
      <w:r w:rsidR="00AC07E0">
        <w:rPr>
          <w:b/>
          <w:sz w:val="22"/>
        </w:rPr>
        <w:t xml:space="preserve"> Template</w:t>
      </w:r>
      <w:r w:rsidR="0058022C">
        <w:rPr>
          <w:b/>
          <w:sz w:val="22"/>
        </w:rPr>
        <w:tab/>
      </w:r>
      <w:r w:rsidR="0058022C">
        <w:rPr>
          <w:b/>
          <w:sz w:val="22"/>
        </w:rPr>
        <w:tab/>
      </w:r>
      <w:r w:rsidR="0058022C">
        <w:rPr>
          <w:b/>
          <w:sz w:val="22"/>
        </w:rPr>
        <w:tab/>
      </w:r>
      <w:r w:rsidR="0058022C">
        <w:rPr>
          <w:b/>
          <w:sz w:val="22"/>
        </w:rPr>
        <w:tab/>
      </w:r>
      <w:r w:rsidR="000D6AB6">
        <w:rPr>
          <w:b/>
          <w:sz w:val="22"/>
        </w:rPr>
        <w:tab/>
      </w:r>
      <w:r w:rsidR="0058022C">
        <w:rPr>
          <w:b/>
          <w:sz w:val="22"/>
        </w:rPr>
        <w:t>Tab 1</w:t>
      </w:r>
      <w:r w:rsidR="00AC07E0">
        <w:rPr>
          <w:b/>
          <w:sz w:val="22"/>
        </w:rPr>
        <w:t>8</w:t>
      </w:r>
    </w:p>
    <w:p w:rsidR="00AC07E0" w:rsidRDefault="00AC07E0" w:rsidP="00EB36BE">
      <w:pPr>
        <w:ind w:firstLine="720"/>
        <w:rPr>
          <w:b/>
          <w:sz w:val="22"/>
        </w:rPr>
      </w:pPr>
      <w:r>
        <w:rPr>
          <w:b/>
          <w:sz w:val="22"/>
        </w:rPr>
        <w:t>Post Entry Amendment Directive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Tab 19</w:t>
      </w:r>
    </w:p>
    <w:p w:rsidR="00AC07E0" w:rsidRDefault="00AC07E0" w:rsidP="00EB36BE">
      <w:pPr>
        <w:ind w:firstLine="720"/>
        <w:rPr>
          <w:b/>
          <w:sz w:val="22"/>
        </w:rPr>
      </w:pPr>
      <w:r>
        <w:rPr>
          <w:b/>
          <w:sz w:val="22"/>
        </w:rPr>
        <w:t>Post Entry Amendment Federal Register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Tab 20</w:t>
      </w:r>
    </w:p>
    <w:p w:rsidR="0033007F" w:rsidRDefault="0033007F" w:rsidP="0033007F">
      <w:pPr>
        <w:ind w:firstLine="720"/>
        <w:rPr>
          <w:b/>
          <w:sz w:val="22"/>
        </w:rPr>
      </w:pPr>
      <w:r>
        <w:rPr>
          <w:b/>
          <w:sz w:val="22"/>
        </w:rPr>
        <w:t>Sample of P</w:t>
      </w:r>
      <w:r w:rsidR="0058022C">
        <w:rPr>
          <w:b/>
          <w:sz w:val="22"/>
        </w:rPr>
        <w:t>EA Summary Spreadsheet</w:t>
      </w:r>
      <w:r w:rsidR="0058022C">
        <w:rPr>
          <w:b/>
          <w:sz w:val="22"/>
        </w:rPr>
        <w:tab/>
      </w:r>
      <w:r w:rsidR="0058022C">
        <w:rPr>
          <w:b/>
          <w:sz w:val="22"/>
        </w:rPr>
        <w:tab/>
      </w:r>
      <w:r w:rsidR="0058022C">
        <w:rPr>
          <w:b/>
          <w:sz w:val="22"/>
        </w:rPr>
        <w:tab/>
      </w:r>
      <w:r w:rsidR="0058022C">
        <w:rPr>
          <w:b/>
          <w:sz w:val="22"/>
        </w:rPr>
        <w:tab/>
      </w:r>
      <w:r w:rsidR="000D6AB6">
        <w:rPr>
          <w:b/>
          <w:sz w:val="22"/>
        </w:rPr>
        <w:tab/>
      </w:r>
      <w:r w:rsidR="0058022C">
        <w:rPr>
          <w:b/>
          <w:sz w:val="22"/>
        </w:rPr>
        <w:t xml:space="preserve">Tab </w:t>
      </w:r>
      <w:r w:rsidR="00AC07E0">
        <w:rPr>
          <w:b/>
          <w:sz w:val="22"/>
        </w:rPr>
        <w:t>2</w:t>
      </w:r>
      <w:r w:rsidR="0058022C">
        <w:rPr>
          <w:b/>
          <w:sz w:val="22"/>
        </w:rPr>
        <w:t>1</w:t>
      </w:r>
    </w:p>
    <w:p w:rsidR="009113E8" w:rsidRDefault="000A4227" w:rsidP="0033007F">
      <w:pPr>
        <w:ind w:firstLine="720"/>
        <w:rPr>
          <w:b/>
          <w:sz w:val="22"/>
        </w:rPr>
      </w:pPr>
      <w:r>
        <w:rPr>
          <w:b/>
          <w:sz w:val="22"/>
        </w:rPr>
        <w:t>P</w:t>
      </w:r>
      <w:r w:rsidR="002B166F">
        <w:rPr>
          <w:b/>
          <w:sz w:val="22"/>
        </w:rPr>
        <w:t>rotest</w:t>
      </w:r>
      <w:r w:rsidR="002B166F">
        <w:rPr>
          <w:b/>
          <w:sz w:val="22"/>
        </w:rPr>
        <w:tab/>
        <w:t xml:space="preserve"> (CF 19)</w:t>
      </w:r>
      <w:r w:rsidR="002B166F">
        <w:rPr>
          <w:b/>
          <w:sz w:val="22"/>
        </w:rPr>
        <w:tab/>
      </w:r>
      <w:r w:rsidR="002B166F">
        <w:rPr>
          <w:b/>
          <w:sz w:val="22"/>
        </w:rPr>
        <w:tab/>
      </w:r>
      <w:r w:rsidR="002B166F">
        <w:rPr>
          <w:b/>
          <w:sz w:val="22"/>
        </w:rPr>
        <w:tab/>
      </w:r>
      <w:r w:rsidR="002B166F">
        <w:rPr>
          <w:b/>
          <w:sz w:val="22"/>
        </w:rPr>
        <w:tab/>
      </w:r>
      <w:r w:rsidR="002B166F">
        <w:rPr>
          <w:b/>
          <w:sz w:val="22"/>
        </w:rPr>
        <w:tab/>
      </w:r>
      <w:r w:rsidR="002B166F">
        <w:rPr>
          <w:b/>
          <w:sz w:val="22"/>
        </w:rPr>
        <w:tab/>
      </w:r>
      <w:r w:rsidR="002B166F">
        <w:rPr>
          <w:b/>
          <w:sz w:val="22"/>
        </w:rPr>
        <w:tab/>
      </w:r>
      <w:r w:rsidR="000D6AB6">
        <w:rPr>
          <w:b/>
          <w:sz w:val="22"/>
        </w:rPr>
        <w:tab/>
      </w:r>
      <w:r w:rsidR="002B166F">
        <w:rPr>
          <w:b/>
          <w:sz w:val="22"/>
        </w:rPr>
        <w:t xml:space="preserve">Tab </w:t>
      </w:r>
      <w:r w:rsidR="00AC07E0">
        <w:rPr>
          <w:b/>
          <w:sz w:val="22"/>
        </w:rPr>
        <w:t>22</w:t>
      </w:r>
    </w:p>
    <w:p w:rsidR="009113E8" w:rsidRDefault="009113E8">
      <w:pPr>
        <w:rPr>
          <w:b/>
          <w:sz w:val="22"/>
        </w:rPr>
      </w:pPr>
      <w:r>
        <w:rPr>
          <w:b/>
          <w:sz w:val="22"/>
        </w:rPr>
        <w:tab/>
        <w:t>Request fo</w:t>
      </w:r>
      <w:r w:rsidR="00C66A9C">
        <w:rPr>
          <w:b/>
          <w:sz w:val="22"/>
        </w:rPr>
        <w:t>r Information (CF 28)</w:t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0D6AB6">
        <w:rPr>
          <w:b/>
          <w:sz w:val="22"/>
        </w:rPr>
        <w:tab/>
      </w:r>
      <w:r w:rsidR="00C66A9C">
        <w:rPr>
          <w:b/>
          <w:sz w:val="22"/>
        </w:rPr>
        <w:t xml:space="preserve">Tab </w:t>
      </w:r>
      <w:r w:rsidR="00AC07E0">
        <w:rPr>
          <w:b/>
          <w:sz w:val="22"/>
        </w:rPr>
        <w:t>23</w:t>
      </w:r>
    </w:p>
    <w:p w:rsidR="009113E8" w:rsidRDefault="009113E8">
      <w:pPr>
        <w:rPr>
          <w:b/>
          <w:sz w:val="22"/>
        </w:rPr>
      </w:pPr>
      <w:r>
        <w:rPr>
          <w:b/>
          <w:sz w:val="22"/>
        </w:rPr>
        <w:tab/>
        <w:t>Noti</w:t>
      </w:r>
      <w:r w:rsidR="00C66A9C">
        <w:rPr>
          <w:b/>
          <w:sz w:val="22"/>
        </w:rPr>
        <w:t>ce of Action (CF 29)</w:t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0D6AB6">
        <w:rPr>
          <w:b/>
          <w:sz w:val="22"/>
        </w:rPr>
        <w:tab/>
      </w:r>
      <w:r w:rsidR="00AC07E0">
        <w:rPr>
          <w:b/>
          <w:sz w:val="22"/>
        </w:rPr>
        <w:t>Tab 24</w:t>
      </w:r>
    </w:p>
    <w:p w:rsidR="009113E8" w:rsidRDefault="009113E8">
      <w:pPr>
        <w:rPr>
          <w:b/>
          <w:sz w:val="22"/>
        </w:rPr>
      </w:pPr>
      <w:r>
        <w:rPr>
          <w:b/>
          <w:sz w:val="22"/>
        </w:rPr>
        <w:tab/>
        <w:t>Notice to Mark and/or Notice</w:t>
      </w:r>
      <w:r w:rsidR="00C66A9C">
        <w:rPr>
          <w:b/>
          <w:sz w:val="22"/>
        </w:rPr>
        <w:t xml:space="preserve"> to Redeliver (CF 4647)</w:t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0D6AB6">
        <w:rPr>
          <w:b/>
          <w:sz w:val="22"/>
        </w:rPr>
        <w:tab/>
      </w:r>
      <w:r w:rsidR="00AC07E0">
        <w:rPr>
          <w:b/>
          <w:sz w:val="22"/>
        </w:rPr>
        <w:t>Tab 25</w:t>
      </w:r>
    </w:p>
    <w:p w:rsidR="009113E8" w:rsidRDefault="009113E8">
      <w:pPr>
        <w:rPr>
          <w:b/>
          <w:sz w:val="22"/>
        </w:rPr>
      </w:pPr>
      <w:r>
        <w:rPr>
          <w:b/>
          <w:sz w:val="22"/>
        </w:rPr>
        <w:tab/>
        <w:t>Pre-penalty Notice Letter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D6AB6">
        <w:rPr>
          <w:b/>
          <w:sz w:val="22"/>
        </w:rPr>
        <w:tab/>
      </w:r>
      <w:r w:rsidR="00C66A9C">
        <w:rPr>
          <w:b/>
          <w:sz w:val="22"/>
        </w:rPr>
        <w:t>Tab 2</w:t>
      </w:r>
      <w:r w:rsidR="00AC07E0">
        <w:rPr>
          <w:b/>
          <w:sz w:val="22"/>
        </w:rPr>
        <w:t>6</w:t>
      </w:r>
    </w:p>
    <w:p w:rsidR="009113E8" w:rsidRDefault="009113E8" w:rsidP="007D4549">
      <w:pPr>
        <w:pStyle w:val="Heading2"/>
      </w:pPr>
      <w:r>
        <w:tab/>
        <w:t>Example of</w:t>
      </w:r>
      <w:r w:rsidR="00C66A9C">
        <w:t xml:space="preserve"> a Notice of Penalty </w:t>
      </w:r>
      <w:r w:rsidR="00C66A9C">
        <w:tab/>
      </w:r>
      <w:r w:rsidR="00C66A9C">
        <w:tab/>
      </w:r>
      <w:r w:rsidR="00C66A9C">
        <w:tab/>
      </w:r>
      <w:r w:rsidR="00C66A9C">
        <w:tab/>
      </w:r>
      <w:r w:rsidR="00C66A9C">
        <w:tab/>
      </w:r>
      <w:r w:rsidR="000D6AB6">
        <w:tab/>
      </w:r>
      <w:r w:rsidR="00C66A9C">
        <w:t>Tab 2</w:t>
      </w:r>
      <w:r w:rsidR="00AC07E0">
        <w:t>7</w:t>
      </w:r>
    </w:p>
    <w:p w:rsidR="00AC07E0" w:rsidRPr="00AC07E0" w:rsidRDefault="00AC07E0" w:rsidP="00AC07E0">
      <w:pPr>
        <w:pStyle w:val="Heading2"/>
      </w:pPr>
      <w:r>
        <w:tab/>
        <w:t>Entry Verification Checklist and Work Instructions</w:t>
      </w:r>
      <w:r>
        <w:tab/>
      </w:r>
      <w:r>
        <w:tab/>
      </w:r>
      <w:r>
        <w:tab/>
      </w:r>
      <w:r>
        <w:tab/>
        <w:t>Tab 28</w:t>
      </w:r>
    </w:p>
    <w:p w:rsidR="00EB36BE" w:rsidRDefault="00EB36BE">
      <w:pPr>
        <w:pStyle w:val="Heading1"/>
        <w:jc w:val="left"/>
        <w:rPr>
          <w:sz w:val="24"/>
          <w:u w:val="none"/>
        </w:rPr>
      </w:pPr>
    </w:p>
    <w:p w:rsidR="009113E8" w:rsidRDefault="009113E8">
      <w:pPr>
        <w:pStyle w:val="Heading1"/>
        <w:jc w:val="left"/>
        <w:rPr>
          <w:sz w:val="24"/>
          <w:u w:val="none"/>
        </w:rPr>
      </w:pPr>
      <w:r>
        <w:rPr>
          <w:sz w:val="24"/>
          <w:u w:val="none"/>
        </w:rPr>
        <w:t>Liquidated Damages, Fines, and Penalties (Commercial Fraud)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Pr="00C25FD9">
        <w:rPr>
          <w:sz w:val="24"/>
        </w:rPr>
        <w:t xml:space="preserve">Tab </w:t>
      </w:r>
      <w:r w:rsidR="00C25FD9" w:rsidRPr="00C25FD9">
        <w:rPr>
          <w:sz w:val="24"/>
        </w:rPr>
        <w:t>F</w:t>
      </w:r>
    </w:p>
    <w:p w:rsidR="009113E8" w:rsidRDefault="009113E8" w:rsidP="00AC07E0">
      <w:pPr>
        <w:rPr>
          <w:sz w:val="24"/>
        </w:rPr>
      </w:pPr>
      <w:r>
        <w:rPr>
          <w:sz w:val="22"/>
        </w:rPr>
        <w:tab/>
      </w:r>
    </w:p>
    <w:p w:rsidR="009113E8" w:rsidRDefault="009113E8">
      <w:pPr>
        <w:pStyle w:val="Heading1"/>
        <w:jc w:val="left"/>
        <w:rPr>
          <w:sz w:val="24"/>
          <w:u w:val="none"/>
        </w:rPr>
      </w:pPr>
      <w:r>
        <w:rPr>
          <w:sz w:val="24"/>
          <w:u w:val="none"/>
        </w:rPr>
        <w:t xml:space="preserve">Intellectual </w:t>
      </w:r>
      <w:r w:rsidR="00C25FD9">
        <w:rPr>
          <w:sz w:val="24"/>
          <w:u w:val="none"/>
        </w:rPr>
        <w:t>Property Rights (IPR)</w:t>
      </w:r>
      <w:r w:rsidR="00C25FD9">
        <w:rPr>
          <w:sz w:val="24"/>
          <w:u w:val="none"/>
        </w:rPr>
        <w:tab/>
      </w:r>
      <w:r w:rsidR="00C25FD9">
        <w:rPr>
          <w:sz w:val="24"/>
          <w:u w:val="none"/>
        </w:rPr>
        <w:tab/>
      </w:r>
      <w:r w:rsidR="00C25FD9">
        <w:rPr>
          <w:sz w:val="24"/>
          <w:u w:val="none"/>
        </w:rPr>
        <w:tab/>
      </w:r>
      <w:r w:rsidR="00C25FD9">
        <w:rPr>
          <w:sz w:val="24"/>
          <w:u w:val="none"/>
        </w:rPr>
        <w:tab/>
      </w:r>
      <w:r w:rsidR="00C25FD9">
        <w:rPr>
          <w:sz w:val="24"/>
          <w:u w:val="none"/>
        </w:rPr>
        <w:tab/>
      </w:r>
      <w:r w:rsidR="00C25FD9">
        <w:rPr>
          <w:sz w:val="24"/>
          <w:u w:val="none"/>
        </w:rPr>
        <w:tab/>
      </w:r>
      <w:r w:rsidR="00C25FD9" w:rsidRPr="00C25FD9">
        <w:rPr>
          <w:sz w:val="24"/>
        </w:rPr>
        <w:t>Tab G</w:t>
      </w:r>
    </w:p>
    <w:p w:rsidR="009113E8" w:rsidRDefault="009113E8"/>
    <w:p w:rsidR="009113E8" w:rsidRDefault="00AC07E0">
      <w:pPr>
        <w:pStyle w:val="Heading1"/>
        <w:jc w:val="left"/>
        <w:rPr>
          <w:sz w:val="24"/>
          <w:u w:val="none"/>
        </w:rPr>
      </w:pPr>
      <w:r>
        <w:rPr>
          <w:sz w:val="24"/>
          <w:u w:val="none"/>
        </w:rPr>
        <w:t xml:space="preserve">Customs Broker relations 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="008F78EA">
        <w:rPr>
          <w:sz w:val="24"/>
          <w:u w:val="none"/>
        </w:rPr>
        <w:tab/>
      </w:r>
      <w:r w:rsidR="008F78EA">
        <w:rPr>
          <w:sz w:val="24"/>
          <w:u w:val="none"/>
        </w:rPr>
        <w:tab/>
      </w:r>
      <w:r w:rsidR="00850E69">
        <w:rPr>
          <w:sz w:val="24"/>
          <w:u w:val="none"/>
        </w:rPr>
        <w:tab/>
      </w:r>
      <w:r w:rsidR="00850E69">
        <w:rPr>
          <w:sz w:val="24"/>
          <w:u w:val="none"/>
        </w:rPr>
        <w:tab/>
      </w:r>
      <w:r w:rsidR="008F78EA" w:rsidRPr="00C25FD9">
        <w:rPr>
          <w:sz w:val="24"/>
        </w:rPr>
        <w:t xml:space="preserve">Tab </w:t>
      </w:r>
      <w:r w:rsidR="00E40922">
        <w:rPr>
          <w:sz w:val="24"/>
        </w:rPr>
        <w:t>H</w:t>
      </w:r>
    </w:p>
    <w:p w:rsidR="00850E69" w:rsidRDefault="009113E8">
      <w:pPr>
        <w:rPr>
          <w:b/>
          <w:sz w:val="22"/>
        </w:rPr>
      </w:pPr>
      <w:r>
        <w:tab/>
      </w:r>
      <w:r w:rsidR="00AC07E0">
        <w:rPr>
          <w:b/>
          <w:sz w:val="22"/>
        </w:rPr>
        <w:t>Customs B</w:t>
      </w:r>
      <w:r w:rsidR="002E26EF">
        <w:rPr>
          <w:b/>
          <w:sz w:val="22"/>
        </w:rPr>
        <w:t xml:space="preserve">roker </w:t>
      </w:r>
      <w:r w:rsidR="00AC07E0">
        <w:rPr>
          <w:b/>
          <w:sz w:val="22"/>
        </w:rPr>
        <w:t>Responsibilities</w:t>
      </w:r>
      <w:r w:rsidR="002E26EF">
        <w:rPr>
          <w:b/>
          <w:sz w:val="22"/>
        </w:rPr>
        <w:tab/>
      </w:r>
      <w:r w:rsidR="002E26EF">
        <w:rPr>
          <w:b/>
          <w:sz w:val="22"/>
        </w:rPr>
        <w:tab/>
      </w:r>
      <w:r w:rsidR="002E26EF">
        <w:rPr>
          <w:b/>
          <w:sz w:val="22"/>
        </w:rPr>
        <w:tab/>
      </w:r>
      <w:r w:rsidR="002E26EF">
        <w:rPr>
          <w:b/>
          <w:sz w:val="22"/>
        </w:rPr>
        <w:tab/>
      </w:r>
      <w:r w:rsidR="002E26EF">
        <w:rPr>
          <w:b/>
          <w:sz w:val="22"/>
        </w:rPr>
        <w:tab/>
      </w:r>
      <w:r w:rsidR="00C25FD9">
        <w:rPr>
          <w:b/>
          <w:sz w:val="22"/>
        </w:rPr>
        <w:tab/>
      </w:r>
      <w:r w:rsidR="00AC07E0">
        <w:rPr>
          <w:b/>
          <w:sz w:val="22"/>
        </w:rPr>
        <w:t>Tab 29</w:t>
      </w:r>
    </w:p>
    <w:p w:rsidR="009113E8" w:rsidRDefault="00850E69">
      <w:pPr>
        <w:rPr>
          <w:b/>
          <w:sz w:val="22"/>
        </w:rPr>
      </w:pPr>
      <w:r>
        <w:rPr>
          <w:b/>
          <w:sz w:val="22"/>
        </w:rPr>
        <w:tab/>
      </w:r>
      <w:r w:rsidR="00AC07E0">
        <w:rPr>
          <w:b/>
          <w:sz w:val="22"/>
        </w:rPr>
        <w:t>Customs Broker Power-of-Attorney</w:t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66A9C">
        <w:rPr>
          <w:b/>
          <w:sz w:val="22"/>
        </w:rPr>
        <w:tab/>
      </w:r>
      <w:r w:rsidR="00C25FD9">
        <w:rPr>
          <w:b/>
          <w:sz w:val="22"/>
        </w:rPr>
        <w:tab/>
      </w:r>
      <w:r w:rsidR="00C66A9C">
        <w:rPr>
          <w:b/>
          <w:sz w:val="22"/>
        </w:rPr>
        <w:t xml:space="preserve">Tab </w:t>
      </w:r>
      <w:r w:rsidR="0064517F">
        <w:rPr>
          <w:b/>
          <w:sz w:val="22"/>
        </w:rPr>
        <w:t>3</w:t>
      </w:r>
      <w:r w:rsidR="00AC07E0">
        <w:rPr>
          <w:b/>
          <w:sz w:val="22"/>
        </w:rPr>
        <w:t>0</w:t>
      </w:r>
    </w:p>
    <w:p w:rsidR="008A789E" w:rsidRDefault="008A789E">
      <w:pPr>
        <w:rPr>
          <w:b/>
          <w:sz w:val="22"/>
        </w:rPr>
      </w:pPr>
    </w:p>
    <w:p w:rsidR="002E26EF" w:rsidRDefault="00AC07E0" w:rsidP="00AC07E0">
      <w:pPr>
        <w:pStyle w:val="Heading1"/>
        <w:jc w:val="left"/>
        <w:rPr>
          <w:b w:val="0"/>
          <w:sz w:val="22"/>
        </w:rPr>
      </w:pPr>
      <w:r w:rsidRPr="00AC07E0">
        <w:rPr>
          <w:sz w:val="24"/>
          <w:u w:val="none"/>
        </w:rPr>
        <w:t>Informed Compliance Publications</w:t>
      </w:r>
      <w:r w:rsidRPr="00AC07E0">
        <w:rPr>
          <w:sz w:val="24"/>
          <w:u w:val="none"/>
        </w:rPr>
        <w:tab/>
      </w:r>
      <w:r w:rsidRPr="00AC07E0"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 w:rsidRPr="00AC07E0">
        <w:rPr>
          <w:sz w:val="24"/>
        </w:rPr>
        <w:t>Tab I</w:t>
      </w:r>
      <w:r w:rsidR="002E26EF">
        <w:rPr>
          <w:b w:val="0"/>
          <w:sz w:val="22"/>
        </w:rPr>
        <w:tab/>
      </w:r>
    </w:p>
    <w:p w:rsidR="009113E8" w:rsidRDefault="009113E8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9113E8" w:rsidRDefault="00C66A9C">
      <w:pPr>
        <w:pStyle w:val="Heading1"/>
        <w:jc w:val="left"/>
        <w:rPr>
          <w:sz w:val="24"/>
          <w:u w:val="none"/>
        </w:rPr>
      </w:pPr>
      <w:r>
        <w:rPr>
          <w:sz w:val="24"/>
          <w:u w:val="none"/>
        </w:rPr>
        <w:t>Change</w:t>
      </w:r>
      <w:r w:rsidR="00741907">
        <w:rPr>
          <w:sz w:val="24"/>
          <w:u w:val="none"/>
        </w:rPr>
        <w:t xml:space="preserve"> Record Form</w:t>
      </w:r>
      <w:r w:rsidR="00741907">
        <w:rPr>
          <w:sz w:val="24"/>
          <w:u w:val="none"/>
        </w:rPr>
        <w:tab/>
      </w:r>
      <w:r w:rsidR="00741907">
        <w:rPr>
          <w:sz w:val="24"/>
          <w:u w:val="none"/>
        </w:rPr>
        <w:tab/>
      </w:r>
      <w:r w:rsidR="00741907">
        <w:rPr>
          <w:sz w:val="24"/>
          <w:u w:val="none"/>
        </w:rPr>
        <w:tab/>
      </w:r>
      <w:r w:rsidR="00741907">
        <w:rPr>
          <w:sz w:val="24"/>
          <w:u w:val="none"/>
        </w:rPr>
        <w:tab/>
      </w:r>
      <w:r w:rsidR="00741907">
        <w:rPr>
          <w:sz w:val="24"/>
          <w:u w:val="none"/>
        </w:rPr>
        <w:tab/>
      </w:r>
      <w:r w:rsidR="00741907">
        <w:rPr>
          <w:sz w:val="24"/>
          <w:u w:val="none"/>
        </w:rPr>
        <w:tab/>
      </w:r>
      <w:r w:rsidR="00741907">
        <w:rPr>
          <w:sz w:val="24"/>
          <w:u w:val="none"/>
        </w:rPr>
        <w:tab/>
      </w:r>
      <w:r w:rsidR="00741907">
        <w:rPr>
          <w:sz w:val="24"/>
          <w:u w:val="none"/>
        </w:rPr>
        <w:tab/>
      </w:r>
      <w:r w:rsidR="00741907" w:rsidRPr="000169D7">
        <w:rPr>
          <w:sz w:val="24"/>
        </w:rPr>
        <w:t xml:space="preserve">Tab </w:t>
      </w:r>
      <w:r w:rsidR="00E40922" w:rsidRPr="000169D7">
        <w:rPr>
          <w:sz w:val="24"/>
        </w:rPr>
        <w:t>J</w:t>
      </w:r>
    </w:p>
    <w:p w:rsidR="009113E8" w:rsidRDefault="009113E8"/>
    <w:p w:rsidR="009113E8" w:rsidRDefault="009113E8">
      <w:pPr>
        <w:pStyle w:val="Header"/>
        <w:tabs>
          <w:tab w:val="clear" w:pos="4320"/>
          <w:tab w:val="clear" w:pos="8640"/>
        </w:tabs>
        <w:rPr>
          <w:b/>
          <w:bCs/>
          <w:smallCaps/>
          <w:sz w:val="24"/>
        </w:rPr>
      </w:pPr>
    </w:p>
    <w:sectPr w:rsidR="009113E8" w:rsidSect="00E40922">
      <w:headerReference w:type="default" r:id="rId7"/>
      <w:footerReference w:type="even" r:id="rId8"/>
      <w:footerReference w:type="default" r:id="rId9"/>
      <w:pgSz w:w="12240" w:h="15840"/>
      <w:pgMar w:top="975" w:right="1584" w:bottom="1584" w:left="1584" w:header="90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95F" w:rsidRDefault="003D395F">
      <w:r>
        <w:separator/>
      </w:r>
    </w:p>
  </w:endnote>
  <w:endnote w:type="continuationSeparator" w:id="0">
    <w:p w:rsidR="003D395F" w:rsidRDefault="003D3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AC8" w:rsidRDefault="00D72A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2AC8" w:rsidRDefault="00D72A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AC8" w:rsidRDefault="00D72AC8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FF3699">
      <w:rPr>
        <w:rStyle w:val="PageNumber"/>
        <w:noProof/>
        <w:sz w:val="22"/>
      </w:rPr>
      <w:t>1</w:t>
    </w:r>
    <w:r>
      <w:rPr>
        <w:rStyle w:val="PageNumber"/>
        <w:sz w:val="22"/>
      </w:rPr>
      <w:fldChar w:fldCharType="end"/>
    </w:r>
  </w:p>
  <w:p w:rsidR="00D72AC8" w:rsidRDefault="00D72AC8">
    <w:pPr>
      <w:pStyle w:val="Footer"/>
      <w:jc w:val="both"/>
      <w:rPr>
        <w:sz w:val="22"/>
      </w:rPr>
    </w:pPr>
    <w:r>
      <w:rPr>
        <w:sz w:val="22"/>
      </w:rPr>
      <w:tab/>
    </w:r>
  </w:p>
  <w:p w:rsidR="00D72AC8" w:rsidRDefault="00D72AC8">
    <w:pPr>
      <w:pStyle w:val="Footer"/>
      <w:jc w:val="both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</w:p>
  <w:p w:rsidR="00D72AC8" w:rsidRDefault="00D72AC8">
    <w:pPr>
      <w:pStyle w:val="Footer"/>
      <w:jc w:val="center"/>
      <w:rPr>
        <w:rFonts w:ascii="Arial" w:hAnsi="Arial" w:cs="Arial"/>
        <w:color w:val="000000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95F" w:rsidRDefault="003D395F">
      <w:r>
        <w:separator/>
      </w:r>
    </w:p>
  </w:footnote>
  <w:footnote w:type="continuationSeparator" w:id="0">
    <w:p w:rsidR="003D395F" w:rsidRDefault="003D3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AC8" w:rsidRDefault="00D72AC8">
    <w:pPr>
      <w:pStyle w:val="Header"/>
      <w:ind w:right="-108"/>
      <w:jc w:val="right"/>
      <w:rPr>
        <w:b/>
        <w:smallCaps/>
        <w:sz w:val="22"/>
      </w:rPr>
    </w:pPr>
    <w:r>
      <w:rPr>
        <w:b/>
        <w:smallCaps/>
        <w:sz w:val="22"/>
      </w:rPr>
      <w:tab/>
      <w:t xml:space="preserve">. </w:t>
    </w:r>
    <w:r>
      <w:rPr>
        <w:b/>
        <w:smallCaps/>
        <w:sz w:val="22"/>
      </w:rPr>
      <w:tab/>
      <w:t xml:space="preserve">                                                                                                                          </w:t>
    </w:r>
  </w:p>
  <w:p w:rsidR="00D72AC8" w:rsidRDefault="00D72AC8">
    <w:pPr>
      <w:pStyle w:val="Header"/>
      <w:ind w:right="-108"/>
      <w:jc w:val="right"/>
      <w:rPr>
        <w:b/>
      </w:rPr>
    </w:pPr>
    <w:r>
      <w:rPr>
        <w:b/>
        <w:smallCaps/>
        <w:sz w:val="22"/>
      </w:rPr>
      <w:t>Table of Contents</w:t>
    </w:r>
  </w:p>
  <w:p w:rsidR="00D72AC8" w:rsidRDefault="00D72A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5CB6"/>
    <w:multiLevelType w:val="hybridMultilevel"/>
    <w:tmpl w:val="F4AAA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70C"/>
    <w:rsid w:val="00001F68"/>
    <w:rsid w:val="000169D7"/>
    <w:rsid w:val="00032C8F"/>
    <w:rsid w:val="00032D71"/>
    <w:rsid w:val="00050DA4"/>
    <w:rsid w:val="00062D62"/>
    <w:rsid w:val="000756F5"/>
    <w:rsid w:val="00076BFA"/>
    <w:rsid w:val="000A4227"/>
    <w:rsid w:val="000B674F"/>
    <w:rsid w:val="000D6AB6"/>
    <w:rsid w:val="000E527A"/>
    <w:rsid w:val="00157D13"/>
    <w:rsid w:val="00167C4F"/>
    <w:rsid w:val="001810B4"/>
    <w:rsid w:val="001C1393"/>
    <w:rsid w:val="0024229B"/>
    <w:rsid w:val="00292C45"/>
    <w:rsid w:val="002B166F"/>
    <w:rsid w:val="002C3986"/>
    <w:rsid w:val="002D3AAE"/>
    <w:rsid w:val="002D4F58"/>
    <w:rsid w:val="002E26EF"/>
    <w:rsid w:val="003274DC"/>
    <w:rsid w:val="0033007F"/>
    <w:rsid w:val="00340DD8"/>
    <w:rsid w:val="003736E2"/>
    <w:rsid w:val="003D395F"/>
    <w:rsid w:val="00410BA3"/>
    <w:rsid w:val="00413793"/>
    <w:rsid w:val="004157DC"/>
    <w:rsid w:val="004452F7"/>
    <w:rsid w:val="00445BEB"/>
    <w:rsid w:val="0045570C"/>
    <w:rsid w:val="00490B13"/>
    <w:rsid w:val="004A485E"/>
    <w:rsid w:val="00504F61"/>
    <w:rsid w:val="00507C11"/>
    <w:rsid w:val="00551089"/>
    <w:rsid w:val="0058022C"/>
    <w:rsid w:val="00594B5C"/>
    <w:rsid w:val="005F175F"/>
    <w:rsid w:val="00616DD4"/>
    <w:rsid w:val="00627C8A"/>
    <w:rsid w:val="0064517F"/>
    <w:rsid w:val="00664EF4"/>
    <w:rsid w:val="006938EC"/>
    <w:rsid w:val="006A29CB"/>
    <w:rsid w:val="006A77AC"/>
    <w:rsid w:val="006D4C48"/>
    <w:rsid w:val="00741907"/>
    <w:rsid w:val="00744ED5"/>
    <w:rsid w:val="00772AE4"/>
    <w:rsid w:val="007B2E6E"/>
    <w:rsid w:val="007B6370"/>
    <w:rsid w:val="007D4549"/>
    <w:rsid w:val="00802668"/>
    <w:rsid w:val="008068CD"/>
    <w:rsid w:val="008149C1"/>
    <w:rsid w:val="0082309B"/>
    <w:rsid w:val="008309BF"/>
    <w:rsid w:val="00850E69"/>
    <w:rsid w:val="008A789E"/>
    <w:rsid w:val="008F78EA"/>
    <w:rsid w:val="00902359"/>
    <w:rsid w:val="009113E8"/>
    <w:rsid w:val="00993F06"/>
    <w:rsid w:val="009C3374"/>
    <w:rsid w:val="009F4F4F"/>
    <w:rsid w:val="00A355FF"/>
    <w:rsid w:val="00A5409E"/>
    <w:rsid w:val="00A71A44"/>
    <w:rsid w:val="00AA3CDE"/>
    <w:rsid w:val="00AA41A1"/>
    <w:rsid w:val="00AC07E0"/>
    <w:rsid w:val="00AC24CB"/>
    <w:rsid w:val="00AE56E1"/>
    <w:rsid w:val="00B016D4"/>
    <w:rsid w:val="00B046D3"/>
    <w:rsid w:val="00B20717"/>
    <w:rsid w:val="00B270D3"/>
    <w:rsid w:val="00B32687"/>
    <w:rsid w:val="00B50587"/>
    <w:rsid w:val="00BC6A3F"/>
    <w:rsid w:val="00C25FD9"/>
    <w:rsid w:val="00C3678C"/>
    <w:rsid w:val="00C66A9C"/>
    <w:rsid w:val="00C9661C"/>
    <w:rsid w:val="00CB04C1"/>
    <w:rsid w:val="00CC0B8C"/>
    <w:rsid w:val="00CD252A"/>
    <w:rsid w:val="00D505C0"/>
    <w:rsid w:val="00D535CF"/>
    <w:rsid w:val="00D72AC8"/>
    <w:rsid w:val="00D86543"/>
    <w:rsid w:val="00E30C23"/>
    <w:rsid w:val="00E40922"/>
    <w:rsid w:val="00E47B7C"/>
    <w:rsid w:val="00E50425"/>
    <w:rsid w:val="00E517E1"/>
    <w:rsid w:val="00E70219"/>
    <w:rsid w:val="00E705D4"/>
    <w:rsid w:val="00E7220E"/>
    <w:rsid w:val="00EB187B"/>
    <w:rsid w:val="00EB36BE"/>
    <w:rsid w:val="00EC5C2A"/>
    <w:rsid w:val="00ED15B2"/>
    <w:rsid w:val="00ED23AE"/>
    <w:rsid w:val="00EE222A"/>
    <w:rsid w:val="00EF6836"/>
    <w:rsid w:val="00F200D9"/>
    <w:rsid w:val="00F21905"/>
    <w:rsid w:val="00FA6677"/>
    <w:rsid w:val="00FD1247"/>
    <w:rsid w:val="00FE376D"/>
    <w:rsid w:val="00FE5313"/>
    <w:rsid w:val="00FF07DD"/>
    <w:rsid w:val="00FF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mallCaps/>
      <w:sz w:val="24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color w:val="00000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4557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736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 Compliance Procedure Manual</vt:lpstr>
    </vt:vector>
  </TitlesOfParts>
  <Manager>Dan Swartz</Manager>
  <Company>Expeditors Tradewin, LLC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 Compliance Procedure Manual</dc:title>
  <dc:subject>Table of Contents</dc:subject>
  <dc:creator>Dan Swartz</dc:creator>
  <cp:keywords/>
  <cp:lastModifiedBy>saiello</cp:lastModifiedBy>
  <cp:revision>2</cp:revision>
  <cp:lastPrinted>2011-06-28T12:37:00Z</cp:lastPrinted>
  <dcterms:created xsi:type="dcterms:W3CDTF">2012-07-19T18:59:00Z</dcterms:created>
  <dcterms:modified xsi:type="dcterms:W3CDTF">2012-07-19T18:59:00Z</dcterms:modified>
</cp:coreProperties>
</file>